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6E23" w14:textId="77777777" w:rsidR="00F0491A" w:rsidRPr="00DA3B0C" w:rsidRDefault="00F0491A" w:rsidP="00472CFF">
      <w:pPr>
        <w:pStyle w:val="Heading1"/>
        <w:tabs>
          <w:tab w:val="center" w:pos="4898"/>
        </w:tabs>
        <w:spacing w:before="0"/>
      </w:pPr>
      <w:bookmarkStart w:id="0" w:name="_Toc201400362"/>
      <w:r>
        <w:t>Introduction</w:t>
      </w:r>
      <w:bookmarkEnd w:id="0"/>
      <w:r>
        <w:tab/>
      </w:r>
    </w:p>
    <w:p w14:paraId="730B10E0" w14:textId="77777777" w:rsidR="00F0491A" w:rsidRDefault="00F0491A" w:rsidP="00F0491A"/>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364"/>
      </w:tblGrid>
      <w:tr w:rsidR="00F0491A" w:rsidRPr="00F03442" w14:paraId="23B6D0F6" w14:textId="77777777" w:rsidTr="00F0491A">
        <w:tc>
          <w:tcPr>
            <w:tcW w:w="1560" w:type="dxa"/>
            <w:shd w:val="clear" w:color="auto" w:fill="F3F3F3"/>
          </w:tcPr>
          <w:p w14:paraId="0A934B41" w14:textId="77777777" w:rsidR="00F0491A" w:rsidRPr="004311A7" w:rsidRDefault="00F0491A" w:rsidP="002C42F0">
            <w:pPr>
              <w:jc w:val="both"/>
              <w:rPr>
                <w:rFonts w:cs="Calibri"/>
                <w:b/>
                <w:szCs w:val="22"/>
                <w:lang w:val="en-NZ"/>
              </w:rPr>
            </w:pPr>
            <w:r w:rsidRPr="004311A7">
              <w:rPr>
                <w:rFonts w:cs="Calibri"/>
                <w:b/>
                <w:szCs w:val="22"/>
                <w:lang w:val="en-NZ"/>
              </w:rPr>
              <w:t>Purpose</w:t>
            </w:r>
          </w:p>
          <w:p w14:paraId="4FBAA30D" w14:textId="77777777" w:rsidR="00F0491A" w:rsidRPr="004311A7" w:rsidRDefault="00F0491A" w:rsidP="002C42F0">
            <w:pPr>
              <w:rPr>
                <w:rFonts w:cs="Calibri"/>
                <w:szCs w:val="22"/>
                <w:lang w:val="en-NZ"/>
              </w:rPr>
            </w:pPr>
          </w:p>
        </w:tc>
        <w:tc>
          <w:tcPr>
            <w:tcW w:w="8364" w:type="dxa"/>
          </w:tcPr>
          <w:p w14:paraId="5EC14AC0" w14:textId="2916F2CB" w:rsidR="00F22F85" w:rsidRDefault="00F22F85" w:rsidP="002F78F9">
            <w:pPr>
              <w:rPr>
                <w:lang w:val="en-NZ"/>
              </w:rPr>
            </w:pPr>
            <w:r>
              <w:rPr>
                <w:lang w:val="en-NZ"/>
              </w:rPr>
              <w:t>This document provides a directive how</w:t>
            </w:r>
            <w:r w:rsidR="00C864D0">
              <w:rPr>
                <w:lang w:val="en-NZ"/>
              </w:rPr>
              <w:t>,</w:t>
            </w:r>
            <w:r>
              <w:rPr>
                <w:lang w:val="en-NZ"/>
              </w:rPr>
              <w:t xml:space="preserve"> and who can use AI </w:t>
            </w:r>
            <w:r w:rsidR="002F78F9">
              <w:rPr>
                <w:lang w:val="en-NZ"/>
              </w:rPr>
              <w:t xml:space="preserve">responsibly and safe </w:t>
            </w:r>
            <w:r>
              <w:rPr>
                <w:lang w:val="en-NZ"/>
              </w:rPr>
              <w:t xml:space="preserve">for </w:t>
            </w:r>
            <w:r w:rsidR="005F1E06">
              <w:rPr>
                <w:lang w:val="en-NZ"/>
              </w:rPr>
              <w:t xml:space="preserve">work and organisational </w:t>
            </w:r>
            <w:r>
              <w:rPr>
                <w:lang w:val="en-NZ"/>
              </w:rPr>
              <w:t xml:space="preserve">related </w:t>
            </w:r>
            <w:r w:rsidR="00757E18">
              <w:rPr>
                <w:lang w:val="en-NZ"/>
              </w:rPr>
              <w:t xml:space="preserve">processes and </w:t>
            </w:r>
            <w:r>
              <w:rPr>
                <w:lang w:val="en-NZ"/>
              </w:rPr>
              <w:t>purposes.</w:t>
            </w:r>
          </w:p>
          <w:p w14:paraId="460E0A88" w14:textId="03C25BA1" w:rsidR="00C511A1" w:rsidRPr="004311A7" w:rsidRDefault="00C511A1" w:rsidP="002F78F9">
            <w:pPr>
              <w:rPr>
                <w:lang w:val="en-NZ"/>
              </w:rPr>
            </w:pPr>
            <w:r>
              <w:rPr>
                <w:lang w:val="en-NZ"/>
              </w:rPr>
              <w:t xml:space="preserve">We use AI to benefit the people we </w:t>
            </w:r>
            <w:r w:rsidR="00305C02">
              <w:rPr>
                <w:lang w:val="en-NZ"/>
              </w:rPr>
              <w:t>engage in our service.</w:t>
            </w:r>
          </w:p>
        </w:tc>
      </w:tr>
      <w:tr w:rsidR="00F0491A" w:rsidRPr="00F03442" w14:paraId="56ABFD2F" w14:textId="77777777" w:rsidTr="00C864D0">
        <w:trPr>
          <w:trHeight w:val="1048"/>
        </w:trPr>
        <w:tc>
          <w:tcPr>
            <w:tcW w:w="1560" w:type="dxa"/>
            <w:shd w:val="clear" w:color="auto" w:fill="F3F3F3"/>
          </w:tcPr>
          <w:p w14:paraId="377B20C5" w14:textId="77777777" w:rsidR="00F0491A" w:rsidRPr="004311A7" w:rsidRDefault="00F0491A" w:rsidP="002C42F0">
            <w:pPr>
              <w:rPr>
                <w:rFonts w:cs="Calibri"/>
                <w:b/>
                <w:szCs w:val="22"/>
                <w:lang w:val="en-NZ"/>
              </w:rPr>
            </w:pPr>
            <w:r w:rsidRPr="004311A7">
              <w:rPr>
                <w:rFonts w:cs="Calibri"/>
                <w:b/>
                <w:szCs w:val="22"/>
                <w:lang w:val="en-NZ"/>
              </w:rPr>
              <w:t>Scope</w:t>
            </w:r>
          </w:p>
          <w:p w14:paraId="270A00C7" w14:textId="77777777" w:rsidR="00F0491A" w:rsidRDefault="00F0491A" w:rsidP="002C42F0">
            <w:pPr>
              <w:ind w:left="180"/>
              <w:rPr>
                <w:rFonts w:cs="Calibri"/>
                <w:b/>
                <w:szCs w:val="22"/>
                <w:lang w:val="en-NZ"/>
              </w:rPr>
            </w:pPr>
          </w:p>
          <w:p w14:paraId="5403736A" w14:textId="77777777" w:rsidR="00C864D0" w:rsidRDefault="00C864D0" w:rsidP="00C864D0">
            <w:pPr>
              <w:rPr>
                <w:rFonts w:cs="Calibri"/>
                <w:b/>
                <w:szCs w:val="22"/>
                <w:lang w:val="en-NZ"/>
              </w:rPr>
            </w:pPr>
          </w:p>
          <w:p w14:paraId="09A4F046" w14:textId="236F9DF3" w:rsidR="00C864D0" w:rsidRPr="00C864D0" w:rsidRDefault="00C864D0" w:rsidP="00C864D0">
            <w:pPr>
              <w:tabs>
                <w:tab w:val="left" w:pos="1224"/>
              </w:tabs>
              <w:rPr>
                <w:rFonts w:cs="Calibri"/>
                <w:szCs w:val="22"/>
                <w:lang w:val="en-NZ"/>
              </w:rPr>
            </w:pPr>
            <w:r>
              <w:rPr>
                <w:rFonts w:cs="Calibri"/>
                <w:szCs w:val="22"/>
                <w:lang w:val="en-NZ"/>
              </w:rPr>
              <w:tab/>
            </w:r>
          </w:p>
        </w:tc>
        <w:tc>
          <w:tcPr>
            <w:tcW w:w="8364" w:type="dxa"/>
          </w:tcPr>
          <w:p w14:paraId="6C70D463" w14:textId="77777777" w:rsidR="00F0491A" w:rsidRDefault="004B2DBE" w:rsidP="006A4E65">
            <w:pPr>
              <w:rPr>
                <w:lang w:val="en-NZ"/>
              </w:rPr>
            </w:pPr>
            <w:r>
              <w:rPr>
                <w:lang w:val="en-NZ"/>
              </w:rPr>
              <w:t>The processes described in this document apply to:</w:t>
            </w:r>
          </w:p>
          <w:p w14:paraId="5F00B312" w14:textId="77777777" w:rsidR="00627B87" w:rsidRDefault="004B2DBE" w:rsidP="004B2DBE">
            <w:pPr>
              <w:pStyle w:val="ListParagraph"/>
              <w:numPr>
                <w:ilvl w:val="0"/>
                <w:numId w:val="5"/>
              </w:numPr>
              <w:rPr>
                <w:lang w:val="en-NZ"/>
              </w:rPr>
            </w:pPr>
            <w:r>
              <w:rPr>
                <w:lang w:val="en-NZ"/>
              </w:rPr>
              <w:t>People engaged with our services and their wh</w:t>
            </w:r>
            <w:r>
              <w:rPr>
                <w:rFonts w:cs="Calibri"/>
                <w:lang w:val="en-NZ"/>
              </w:rPr>
              <w:t>ā</w:t>
            </w:r>
            <w:r>
              <w:rPr>
                <w:lang w:val="en-NZ"/>
              </w:rPr>
              <w:t>nau/family</w:t>
            </w:r>
            <w:r w:rsidR="00627B87">
              <w:rPr>
                <w:lang w:val="en-NZ"/>
              </w:rPr>
              <w:t>.</w:t>
            </w:r>
          </w:p>
          <w:p w14:paraId="3E626239" w14:textId="7B46A8A7" w:rsidR="004B2DBE" w:rsidRDefault="00627B87" w:rsidP="004B2DBE">
            <w:pPr>
              <w:pStyle w:val="ListParagraph"/>
              <w:numPr>
                <w:ilvl w:val="0"/>
                <w:numId w:val="5"/>
              </w:numPr>
              <w:rPr>
                <w:lang w:val="en-NZ"/>
              </w:rPr>
            </w:pPr>
            <w:r>
              <w:rPr>
                <w:lang w:val="en-NZ"/>
              </w:rPr>
              <w:t>E</w:t>
            </w:r>
            <w:r w:rsidR="004B2DBE">
              <w:rPr>
                <w:lang w:val="en-NZ"/>
              </w:rPr>
              <w:t>mployees, contractors, volunteers, advisors, and student placements</w:t>
            </w:r>
            <w:r w:rsidR="00AA5C37">
              <w:rPr>
                <w:lang w:val="en-NZ"/>
              </w:rPr>
              <w:t xml:space="preserve"> (also referred to as workers)</w:t>
            </w:r>
            <w:r w:rsidR="004B2DBE">
              <w:rPr>
                <w:lang w:val="en-NZ"/>
              </w:rPr>
              <w:t>.</w:t>
            </w:r>
          </w:p>
          <w:p w14:paraId="340829B8" w14:textId="5E7FF620" w:rsidR="00627B87" w:rsidRDefault="00627B87" w:rsidP="004B2DBE">
            <w:pPr>
              <w:pStyle w:val="ListParagraph"/>
              <w:numPr>
                <w:ilvl w:val="0"/>
                <w:numId w:val="5"/>
              </w:numPr>
              <w:rPr>
                <w:lang w:val="en-NZ"/>
              </w:rPr>
            </w:pPr>
            <w:r>
              <w:rPr>
                <w:lang w:val="en-NZ"/>
              </w:rPr>
              <w:t>Our governing body.</w:t>
            </w:r>
          </w:p>
          <w:p w14:paraId="08E1BA12" w14:textId="17AF0F07" w:rsidR="004B2DBE" w:rsidRPr="004B2DBE" w:rsidRDefault="004B2DBE" w:rsidP="004B2DBE">
            <w:pPr>
              <w:pStyle w:val="ListParagraph"/>
              <w:numPr>
                <w:ilvl w:val="0"/>
                <w:numId w:val="5"/>
              </w:numPr>
              <w:rPr>
                <w:lang w:val="en-NZ"/>
              </w:rPr>
            </w:pPr>
            <w:r>
              <w:rPr>
                <w:lang w:val="en-NZ"/>
              </w:rPr>
              <w:t xml:space="preserve">All AI activities </w:t>
            </w:r>
            <w:r w:rsidR="00A852E5">
              <w:rPr>
                <w:lang w:val="en-NZ"/>
              </w:rPr>
              <w:t>that uses information held by our</w:t>
            </w:r>
            <w:r w:rsidR="009D60C8">
              <w:rPr>
                <w:lang w:val="en-NZ"/>
              </w:rPr>
              <w:t>,</w:t>
            </w:r>
            <w:r w:rsidR="00A852E5">
              <w:rPr>
                <w:lang w:val="en-NZ"/>
              </w:rPr>
              <w:t xml:space="preserve"> or external organisations.</w:t>
            </w:r>
            <w:r w:rsidR="00305C02">
              <w:rPr>
                <w:lang w:val="en-NZ"/>
              </w:rPr>
              <w:t xml:space="preserve"> </w:t>
            </w:r>
          </w:p>
        </w:tc>
      </w:tr>
      <w:tr w:rsidR="00F0491A" w:rsidRPr="00F03442" w14:paraId="6029D1AB" w14:textId="77777777" w:rsidTr="00F0491A">
        <w:trPr>
          <w:trHeight w:val="422"/>
        </w:trPr>
        <w:tc>
          <w:tcPr>
            <w:tcW w:w="1560" w:type="dxa"/>
            <w:shd w:val="clear" w:color="auto" w:fill="F3F3F3"/>
          </w:tcPr>
          <w:p w14:paraId="1F1CDA34" w14:textId="77777777" w:rsidR="00F0491A" w:rsidRPr="004311A7" w:rsidRDefault="00F0491A" w:rsidP="002C42F0">
            <w:pPr>
              <w:rPr>
                <w:rFonts w:cs="Calibri"/>
                <w:b/>
                <w:szCs w:val="22"/>
                <w:lang w:val="en-NZ"/>
              </w:rPr>
            </w:pPr>
            <w:r>
              <w:rPr>
                <w:rFonts w:cs="Calibri"/>
                <w:b/>
                <w:szCs w:val="22"/>
                <w:lang w:val="en-NZ"/>
              </w:rPr>
              <w:t>Not in scope</w:t>
            </w:r>
          </w:p>
        </w:tc>
        <w:tc>
          <w:tcPr>
            <w:tcW w:w="8364" w:type="dxa"/>
          </w:tcPr>
          <w:p w14:paraId="30EBC679" w14:textId="333A0BCB" w:rsidR="00F0491A" w:rsidRPr="004311A7" w:rsidRDefault="00B014D2" w:rsidP="002C42F0">
            <w:pPr>
              <w:rPr>
                <w:lang w:val="en-NZ"/>
              </w:rPr>
            </w:pPr>
            <w:r>
              <w:rPr>
                <w:lang w:val="en-NZ"/>
              </w:rPr>
              <w:t>Personal information.</w:t>
            </w:r>
          </w:p>
        </w:tc>
      </w:tr>
      <w:tr w:rsidR="00F0491A" w:rsidRPr="00F03442" w14:paraId="4C7FF204" w14:textId="77777777" w:rsidTr="00F0491A">
        <w:trPr>
          <w:trHeight w:val="170"/>
        </w:trPr>
        <w:tc>
          <w:tcPr>
            <w:tcW w:w="1560" w:type="dxa"/>
            <w:shd w:val="clear" w:color="auto" w:fill="F3F3F3"/>
          </w:tcPr>
          <w:p w14:paraId="3F5D726D" w14:textId="77777777" w:rsidR="00F0491A" w:rsidRPr="004311A7" w:rsidRDefault="00F0491A" w:rsidP="002C42F0">
            <w:pPr>
              <w:rPr>
                <w:rFonts w:cs="Calibri"/>
                <w:b/>
                <w:szCs w:val="22"/>
                <w:lang w:val="en-NZ"/>
              </w:rPr>
            </w:pPr>
            <w:r w:rsidRPr="004311A7">
              <w:rPr>
                <w:rFonts w:cs="Calibri"/>
                <w:b/>
                <w:szCs w:val="22"/>
                <w:lang w:val="en-NZ"/>
              </w:rPr>
              <w:t>Policy</w:t>
            </w:r>
          </w:p>
          <w:p w14:paraId="7EFB8940" w14:textId="77777777" w:rsidR="00F0491A" w:rsidRPr="004311A7" w:rsidRDefault="00F0491A" w:rsidP="002C42F0">
            <w:pPr>
              <w:rPr>
                <w:rFonts w:cs="Calibri"/>
                <w:szCs w:val="22"/>
                <w:lang w:val="en-NZ"/>
              </w:rPr>
            </w:pPr>
          </w:p>
        </w:tc>
        <w:tc>
          <w:tcPr>
            <w:tcW w:w="8364" w:type="dxa"/>
          </w:tcPr>
          <w:p w14:paraId="1EF8DE36" w14:textId="215CE762" w:rsidR="00F0491A" w:rsidRDefault="00A852E5" w:rsidP="00A852E5">
            <w:pPr>
              <w:pStyle w:val="ListParagraph"/>
              <w:numPr>
                <w:ilvl w:val="0"/>
                <w:numId w:val="6"/>
              </w:numPr>
              <w:rPr>
                <w:lang w:val="en-NZ"/>
              </w:rPr>
            </w:pPr>
            <w:r>
              <w:rPr>
                <w:lang w:val="en-NZ"/>
              </w:rPr>
              <w:t>The information privacy principles of the Privacy Act 2020 and the Health Information Privacy Code 2020 apply to all AI activities.</w:t>
            </w:r>
            <w:r w:rsidR="00C864D0">
              <w:rPr>
                <w:lang w:val="en-NZ"/>
              </w:rPr>
              <w:t xml:space="preserve"> </w:t>
            </w:r>
            <w:r w:rsidR="00AA5C37">
              <w:rPr>
                <w:lang w:val="en-NZ"/>
              </w:rPr>
              <w:t xml:space="preserve">Workers and our governing body will </w:t>
            </w:r>
            <w:r w:rsidR="00C864D0">
              <w:rPr>
                <w:lang w:val="en-NZ"/>
              </w:rPr>
              <w:t>have knowledge of the principles of those codes, even though we do not allow personal information to be used when interacting with AI.</w:t>
            </w:r>
          </w:p>
          <w:p w14:paraId="35EA0CC6" w14:textId="5C0E1A5E" w:rsidR="00A852E5" w:rsidRDefault="003F7195" w:rsidP="00A852E5">
            <w:pPr>
              <w:pStyle w:val="ListParagraph"/>
              <w:numPr>
                <w:ilvl w:val="0"/>
                <w:numId w:val="6"/>
              </w:numPr>
              <w:rPr>
                <w:lang w:val="en-NZ"/>
              </w:rPr>
            </w:pPr>
            <w:r>
              <w:rPr>
                <w:lang w:val="en-NZ"/>
              </w:rPr>
              <w:t xml:space="preserve">Our Privacy Officer is available to </w:t>
            </w:r>
            <w:r w:rsidR="00BD51E2">
              <w:rPr>
                <w:lang w:val="en-NZ"/>
              </w:rPr>
              <w:t>workers</w:t>
            </w:r>
            <w:r>
              <w:rPr>
                <w:lang w:val="en-NZ"/>
              </w:rPr>
              <w:t xml:space="preserve"> for any queries about privacy issues and AI.</w:t>
            </w:r>
          </w:p>
          <w:p w14:paraId="09DC9DEC" w14:textId="458A73DC" w:rsidR="003F7195" w:rsidRDefault="003F7195" w:rsidP="00A852E5">
            <w:pPr>
              <w:pStyle w:val="ListParagraph"/>
              <w:numPr>
                <w:ilvl w:val="0"/>
                <w:numId w:val="6"/>
              </w:numPr>
              <w:rPr>
                <w:lang w:val="en-NZ"/>
              </w:rPr>
            </w:pPr>
            <w:r>
              <w:rPr>
                <w:lang w:val="en-NZ"/>
              </w:rPr>
              <w:t xml:space="preserve">Our Privacy Officer initiates </w:t>
            </w:r>
            <w:r w:rsidR="000713F0">
              <w:rPr>
                <w:lang w:val="en-NZ"/>
              </w:rPr>
              <w:t xml:space="preserve">during the first year of AI use </w:t>
            </w:r>
            <w:r>
              <w:rPr>
                <w:lang w:val="en-NZ"/>
              </w:rPr>
              <w:t xml:space="preserve">at least </w:t>
            </w:r>
            <w:r w:rsidR="004B0F8C">
              <w:rPr>
                <w:lang w:val="en-NZ"/>
              </w:rPr>
              <w:t>three-monthly</w:t>
            </w:r>
            <w:r>
              <w:rPr>
                <w:lang w:val="en-NZ"/>
              </w:rPr>
              <w:t xml:space="preserve"> audits to ensure AI interactions adhere to this policy </w:t>
            </w:r>
            <w:r w:rsidR="000713F0">
              <w:rPr>
                <w:lang w:val="en-NZ"/>
              </w:rPr>
              <w:t>and any additional requirements.</w:t>
            </w:r>
          </w:p>
          <w:p w14:paraId="67224EFB" w14:textId="77777777" w:rsidR="000713F0" w:rsidRDefault="000713F0" w:rsidP="00A852E5">
            <w:pPr>
              <w:pStyle w:val="ListParagraph"/>
              <w:numPr>
                <w:ilvl w:val="0"/>
                <w:numId w:val="6"/>
              </w:numPr>
              <w:rPr>
                <w:lang w:val="en-NZ"/>
              </w:rPr>
            </w:pPr>
            <w:r>
              <w:rPr>
                <w:lang w:val="en-NZ"/>
              </w:rPr>
              <w:t>The use of AI is consistent with our organisational values.</w:t>
            </w:r>
          </w:p>
          <w:p w14:paraId="534248C9" w14:textId="77777777" w:rsidR="004B0F8C" w:rsidRDefault="004B0F8C" w:rsidP="00A852E5">
            <w:pPr>
              <w:pStyle w:val="ListParagraph"/>
              <w:numPr>
                <w:ilvl w:val="0"/>
                <w:numId w:val="6"/>
              </w:numPr>
              <w:rPr>
                <w:lang w:val="en-NZ"/>
              </w:rPr>
            </w:pPr>
            <w:r>
              <w:rPr>
                <w:lang w:val="en-NZ"/>
              </w:rPr>
              <w:t>Health professionals who work for us need to comply with their registration bodies AI policies and guidelines additional to this one.</w:t>
            </w:r>
          </w:p>
          <w:p w14:paraId="29FF918F" w14:textId="4387C698" w:rsidR="0083083B" w:rsidRPr="00A852E5" w:rsidRDefault="0083083B" w:rsidP="00A852E5">
            <w:pPr>
              <w:pStyle w:val="ListParagraph"/>
              <w:numPr>
                <w:ilvl w:val="0"/>
                <w:numId w:val="6"/>
              </w:numPr>
              <w:rPr>
                <w:lang w:val="en-NZ"/>
              </w:rPr>
            </w:pPr>
            <w:r>
              <w:rPr>
                <w:lang w:val="en-NZ"/>
              </w:rPr>
              <w:t>In recognition with the pace of change with AI this policy shall be reviewed annually.</w:t>
            </w:r>
          </w:p>
        </w:tc>
      </w:tr>
      <w:tr w:rsidR="00F0491A" w:rsidRPr="00F03442" w14:paraId="2FF5F13A" w14:textId="77777777" w:rsidTr="00F0491A">
        <w:trPr>
          <w:trHeight w:val="170"/>
        </w:trPr>
        <w:tc>
          <w:tcPr>
            <w:tcW w:w="1560" w:type="dxa"/>
            <w:shd w:val="clear" w:color="auto" w:fill="F3F3F3"/>
          </w:tcPr>
          <w:p w14:paraId="5C1A5777" w14:textId="77777777" w:rsidR="00F0491A" w:rsidRPr="004311A7" w:rsidRDefault="00F0491A" w:rsidP="002C42F0">
            <w:pPr>
              <w:rPr>
                <w:rFonts w:cs="Calibri"/>
                <w:b/>
                <w:szCs w:val="22"/>
                <w:lang w:val="en-NZ"/>
              </w:rPr>
            </w:pPr>
            <w:r w:rsidRPr="004311A7">
              <w:rPr>
                <w:rFonts w:cs="Calibri"/>
                <w:b/>
                <w:szCs w:val="22"/>
                <w:lang w:val="en-NZ"/>
              </w:rPr>
              <w:t>Training</w:t>
            </w:r>
          </w:p>
        </w:tc>
        <w:tc>
          <w:tcPr>
            <w:tcW w:w="8364" w:type="dxa"/>
          </w:tcPr>
          <w:p w14:paraId="335DC907" w14:textId="53EBA652" w:rsidR="00F0491A" w:rsidRPr="006A4E65" w:rsidRDefault="00376234" w:rsidP="006A4E65">
            <w:pPr>
              <w:rPr>
                <w:lang w:val="en-NZ"/>
              </w:rPr>
            </w:pPr>
            <w:r>
              <w:rPr>
                <w:lang w:val="en-NZ"/>
              </w:rPr>
              <w:t xml:space="preserve">Any person </w:t>
            </w:r>
            <w:r w:rsidR="003F7195">
              <w:rPr>
                <w:lang w:val="en-NZ"/>
              </w:rPr>
              <w:t xml:space="preserve">interacting with </w:t>
            </w:r>
            <w:r>
              <w:rPr>
                <w:lang w:val="en-NZ"/>
              </w:rPr>
              <w:t>AI will have had training in its use.</w:t>
            </w:r>
          </w:p>
        </w:tc>
      </w:tr>
      <w:tr w:rsidR="00F0491A" w:rsidRPr="00F03442" w14:paraId="2E43FA4B" w14:textId="77777777" w:rsidTr="00F0491A">
        <w:trPr>
          <w:trHeight w:val="170"/>
        </w:trPr>
        <w:tc>
          <w:tcPr>
            <w:tcW w:w="9924" w:type="dxa"/>
            <w:gridSpan w:val="2"/>
            <w:shd w:val="clear" w:color="auto" w:fill="F3F3F3"/>
          </w:tcPr>
          <w:p w14:paraId="09341631" w14:textId="29971849" w:rsidR="00F0491A" w:rsidRPr="005A6797" w:rsidRDefault="005F1E06" w:rsidP="002C42F0">
            <w:pPr>
              <w:rPr>
                <w:b/>
                <w:bCs/>
                <w:lang w:val="en-NZ"/>
              </w:rPr>
            </w:pPr>
            <w:r>
              <w:rPr>
                <w:b/>
                <w:bCs/>
                <w:lang w:val="en-NZ"/>
              </w:rPr>
              <w:t>Definitions</w:t>
            </w:r>
          </w:p>
        </w:tc>
      </w:tr>
      <w:tr w:rsidR="005F1E06" w:rsidRPr="00F03442" w14:paraId="0E455D6F" w14:textId="77777777" w:rsidTr="00F0491A">
        <w:trPr>
          <w:trHeight w:val="170"/>
        </w:trPr>
        <w:tc>
          <w:tcPr>
            <w:tcW w:w="1560" w:type="dxa"/>
            <w:shd w:val="clear" w:color="auto" w:fill="F3F3F3"/>
          </w:tcPr>
          <w:p w14:paraId="7E0FCB04" w14:textId="63D9E6BF" w:rsidR="005F1E06" w:rsidRDefault="00ED5F07" w:rsidP="002C42F0">
            <w:pPr>
              <w:rPr>
                <w:rFonts w:cs="Calibri"/>
                <w:b/>
                <w:szCs w:val="22"/>
                <w:lang w:val="en-NZ"/>
              </w:rPr>
            </w:pPr>
            <w:r>
              <w:rPr>
                <w:rFonts w:cs="Calibri"/>
                <w:b/>
                <w:szCs w:val="22"/>
                <w:lang w:val="en-NZ"/>
              </w:rPr>
              <w:t>AI system</w:t>
            </w:r>
          </w:p>
        </w:tc>
        <w:tc>
          <w:tcPr>
            <w:tcW w:w="8364" w:type="dxa"/>
          </w:tcPr>
          <w:p w14:paraId="3EEC6757" w14:textId="471B7C72" w:rsidR="005F1E06" w:rsidRDefault="00ED5F07" w:rsidP="002C42F0">
            <w:pPr>
              <w:rPr>
                <w:lang w:val="en-NZ"/>
              </w:rPr>
            </w:pPr>
            <w:r>
              <w:rPr>
                <w:i/>
                <w:iCs/>
              </w:rPr>
              <w:t>‘</w:t>
            </w:r>
            <w:r w:rsidRPr="00ED5F07">
              <w:rPr>
                <w:i/>
                <w:iCs/>
              </w:rPr>
              <w:t>An AI system is a machine-based system that, for explicit or implicit objectives, infers, from the input it receives, how to generate outputs such as predictions, content, recommendations, or decisions that can influence physical or virtual environments. Different AI systems</w:t>
            </w:r>
            <w:r w:rsidRPr="00ED5F07">
              <w:t xml:space="preserve"> vary</w:t>
            </w:r>
            <w:r w:rsidRPr="00ED5F07">
              <w:rPr>
                <w:i/>
                <w:iCs/>
              </w:rPr>
              <w:t xml:space="preserve"> in their levels of autonomy and adaptiveness after deployment</w:t>
            </w:r>
            <w:r w:rsidRPr="00ED5F07">
              <w:t>.</w:t>
            </w:r>
            <w:r>
              <w:t xml:space="preserve"> (OECD)’</w:t>
            </w:r>
          </w:p>
        </w:tc>
      </w:tr>
      <w:tr w:rsidR="00F0491A" w:rsidRPr="00F03442" w14:paraId="4AA7396F" w14:textId="77777777" w:rsidTr="00F0491A">
        <w:trPr>
          <w:trHeight w:val="170"/>
        </w:trPr>
        <w:tc>
          <w:tcPr>
            <w:tcW w:w="1560" w:type="dxa"/>
            <w:shd w:val="clear" w:color="auto" w:fill="F3F3F3"/>
          </w:tcPr>
          <w:p w14:paraId="29B60E3C" w14:textId="77777777" w:rsidR="006A4E65" w:rsidRDefault="00F0491A" w:rsidP="002C42F0">
            <w:pPr>
              <w:rPr>
                <w:rFonts w:cs="Calibri"/>
                <w:b/>
                <w:szCs w:val="22"/>
                <w:lang w:val="en-NZ"/>
              </w:rPr>
            </w:pPr>
            <w:r>
              <w:rPr>
                <w:rFonts w:cs="Calibri"/>
                <w:b/>
                <w:szCs w:val="22"/>
                <w:lang w:val="en-NZ"/>
              </w:rPr>
              <w:t>Individuals/</w:t>
            </w:r>
          </w:p>
          <w:p w14:paraId="00E5D456" w14:textId="444F1A70" w:rsidR="00F0491A" w:rsidRPr="004311A7" w:rsidRDefault="00F0491A" w:rsidP="002C42F0">
            <w:pPr>
              <w:rPr>
                <w:rFonts w:cs="Calibri"/>
                <w:b/>
                <w:szCs w:val="22"/>
                <w:lang w:val="en-NZ"/>
              </w:rPr>
            </w:pPr>
            <w:r>
              <w:rPr>
                <w:rFonts w:cs="Calibri"/>
                <w:b/>
                <w:szCs w:val="22"/>
                <w:lang w:val="en-NZ"/>
              </w:rPr>
              <w:t>People engaged</w:t>
            </w:r>
          </w:p>
        </w:tc>
        <w:tc>
          <w:tcPr>
            <w:tcW w:w="8364" w:type="dxa"/>
          </w:tcPr>
          <w:p w14:paraId="0C0F867E" w14:textId="77777777" w:rsidR="00F0491A" w:rsidRDefault="00F0491A" w:rsidP="002C42F0">
            <w:pPr>
              <w:rPr>
                <w:lang w:val="en-NZ"/>
              </w:rPr>
            </w:pPr>
            <w:r>
              <w:rPr>
                <w:lang w:val="en-NZ"/>
              </w:rPr>
              <w:t>Individuals or people engaged with our service is the term used in this document instead of terms such as: tangata whaiora, tangata whai ora, whai ora, client, service user, consumer, tangata whaikaha.</w:t>
            </w:r>
          </w:p>
        </w:tc>
      </w:tr>
      <w:tr w:rsidR="00F0491A" w:rsidRPr="00F03442" w14:paraId="54E86F70" w14:textId="77777777" w:rsidTr="00F0491A">
        <w:trPr>
          <w:trHeight w:val="170"/>
        </w:trPr>
        <w:tc>
          <w:tcPr>
            <w:tcW w:w="1560" w:type="dxa"/>
            <w:shd w:val="clear" w:color="auto" w:fill="F3F3F3"/>
          </w:tcPr>
          <w:p w14:paraId="26F28D9B" w14:textId="77777777" w:rsidR="000A1B76" w:rsidRDefault="00F0491A" w:rsidP="002C42F0">
            <w:pPr>
              <w:rPr>
                <w:rFonts w:cs="Calibri"/>
                <w:b/>
                <w:szCs w:val="22"/>
                <w:lang w:val="en-NZ"/>
              </w:rPr>
            </w:pPr>
            <w:r>
              <w:rPr>
                <w:rFonts w:cs="Calibri"/>
                <w:b/>
                <w:szCs w:val="22"/>
                <w:lang w:val="en-NZ"/>
              </w:rPr>
              <w:t>Personal information</w:t>
            </w:r>
            <w:r w:rsidR="000A1B76">
              <w:rPr>
                <w:rFonts w:cs="Calibri"/>
                <w:b/>
                <w:szCs w:val="22"/>
                <w:lang w:val="en-NZ"/>
              </w:rPr>
              <w:t>/</w:t>
            </w:r>
          </w:p>
          <w:p w14:paraId="0C533C5E" w14:textId="564EC543" w:rsidR="00F0491A" w:rsidRDefault="000A1B76" w:rsidP="002C42F0">
            <w:pPr>
              <w:rPr>
                <w:rFonts w:cs="Calibri"/>
                <w:b/>
                <w:szCs w:val="22"/>
                <w:lang w:val="en-NZ"/>
              </w:rPr>
            </w:pPr>
            <w:r>
              <w:rPr>
                <w:rFonts w:cs="Calibri"/>
                <w:b/>
                <w:szCs w:val="22"/>
                <w:lang w:val="en-NZ"/>
              </w:rPr>
              <w:t>data</w:t>
            </w:r>
          </w:p>
        </w:tc>
        <w:tc>
          <w:tcPr>
            <w:tcW w:w="8364" w:type="dxa"/>
          </w:tcPr>
          <w:p w14:paraId="703FA6A1" w14:textId="77777777" w:rsidR="00F0491A" w:rsidRDefault="00F0491A" w:rsidP="002C42F0">
            <w:pPr>
              <w:jc w:val="both"/>
              <w:rPr>
                <w:lang w:val="en-NZ"/>
              </w:rPr>
            </w:pPr>
            <w:r w:rsidRPr="005A6797">
              <w:rPr>
                <w:lang w:val="en-NZ"/>
              </w:rPr>
              <w:t>Personal information is any information that tells us something about a specific individual. The information does not need to name the individual, as long as they are identifiable in other ways, like through their home address. This means that all sorts of things can contain personal information, including notes, emails, recordings, photos, and scans, whether they are in hard copy or electronic form.</w:t>
            </w:r>
          </w:p>
        </w:tc>
      </w:tr>
      <w:tr w:rsidR="003659E7" w:rsidRPr="00F03442" w14:paraId="4D66317C" w14:textId="77777777" w:rsidTr="00E60A40">
        <w:trPr>
          <w:trHeight w:val="170"/>
        </w:trPr>
        <w:tc>
          <w:tcPr>
            <w:tcW w:w="9924" w:type="dxa"/>
            <w:gridSpan w:val="2"/>
            <w:shd w:val="clear" w:color="auto" w:fill="F3F3F3"/>
          </w:tcPr>
          <w:p w14:paraId="404FB882" w14:textId="199FC0CA" w:rsidR="003659E7" w:rsidRPr="003659E7" w:rsidRDefault="003659E7" w:rsidP="002C42F0">
            <w:pPr>
              <w:jc w:val="both"/>
              <w:rPr>
                <w:b/>
                <w:bCs/>
                <w:lang w:val="en-NZ"/>
              </w:rPr>
            </w:pPr>
            <w:r w:rsidRPr="003659E7">
              <w:rPr>
                <w:b/>
                <w:bCs/>
                <w:lang w:val="en-NZ"/>
              </w:rPr>
              <w:t>References</w:t>
            </w:r>
          </w:p>
        </w:tc>
      </w:tr>
      <w:tr w:rsidR="003659E7" w:rsidRPr="00F03442" w14:paraId="302B9539" w14:textId="77777777" w:rsidTr="00F0491A">
        <w:trPr>
          <w:trHeight w:val="170"/>
        </w:trPr>
        <w:tc>
          <w:tcPr>
            <w:tcW w:w="1560" w:type="dxa"/>
            <w:shd w:val="clear" w:color="auto" w:fill="F3F3F3"/>
          </w:tcPr>
          <w:p w14:paraId="5FFAE0E5" w14:textId="72C24A38" w:rsidR="003659E7" w:rsidRDefault="00986DDC" w:rsidP="002C42F0">
            <w:pPr>
              <w:rPr>
                <w:rFonts w:cs="Calibri"/>
                <w:b/>
                <w:szCs w:val="22"/>
                <w:lang w:val="en-NZ"/>
              </w:rPr>
            </w:pPr>
            <w:r>
              <w:rPr>
                <w:rFonts w:cs="Calibri"/>
                <w:b/>
                <w:szCs w:val="22"/>
                <w:lang w:val="en-NZ"/>
              </w:rPr>
              <w:t>Guidelines</w:t>
            </w:r>
          </w:p>
        </w:tc>
        <w:tc>
          <w:tcPr>
            <w:tcW w:w="8364" w:type="dxa"/>
          </w:tcPr>
          <w:p w14:paraId="1FBB2A30" w14:textId="752739B6" w:rsidR="003659E7" w:rsidRDefault="00986DDC" w:rsidP="002C42F0">
            <w:pPr>
              <w:jc w:val="both"/>
              <w:rPr>
                <w:lang w:val="en-NZ"/>
              </w:rPr>
            </w:pPr>
            <w:hyperlink r:id="rId11" w:history="1">
              <w:r w:rsidRPr="00986DDC">
                <w:rPr>
                  <w:rStyle w:val="Hyperlink"/>
                  <w:lang w:val="en-NZ"/>
                </w:rPr>
                <w:t>AI Forum NZ/Te K</w:t>
              </w:r>
              <w:r w:rsidRPr="00986DDC">
                <w:rPr>
                  <w:rStyle w:val="Hyperlink"/>
                  <w:rFonts w:cs="Calibri"/>
                  <w:lang w:val="en-NZ"/>
                </w:rPr>
                <w:t>ā</w:t>
              </w:r>
              <w:r w:rsidRPr="00986DDC">
                <w:rPr>
                  <w:rStyle w:val="Hyperlink"/>
                  <w:lang w:val="en-NZ"/>
                </w:rPr>
                <w:t>hui Atamai Ihaiko o Aotearoa: AI governance</w:t>
              </w:r>
            </w:hyperlink>
            <w:r>
              <w:rPr>
                <w:lang w:val="en-NZ"/>
              </w:rPr>
              <w:t>:</w:t>
            </w:r>
          </w:p>
          <w:p w14:paraId="535A2F20" w14:textId="67231758" w:rsidR="00986DDC" w:rsidRDefault="00986DDC" w:rsidP="00986DDC">
            <w:pPr>
              <w:pStyle w:val="ListParagraph"/>
              <w:numPr>
                <w:ilvl w:val="1"/>
                <w:numId w:val="2"/>
              </w:numPr>
              <w:jc w:val="both"/>
              <w:rPr>
                <w:lang w:val="en-NZ"/>
              </w:rPr>
            </w:pPr>
            <w:hyperlink r:id="rId12" w:history="1">
              <w:r w:rsidRPr="00986DDC">
                <w:rPr>
                  <w:rStyle w:val="Hyperlink"/>
                  <w:lang w:val="en-NZ"/>
                </w:rPr>
                <w:t>AI Impact Assessment</w:t>
              </w:r>
            </w:hyperlink>
          </w:p>
          <w:p w14:paraId="6241C886" w14:textId="64040F16" w:rsidR="00986DDC" w:rsidRDefault="00986DDC" w:rsidP="00986DDC">
            <w:pPr>
              <w:pStyle w:val="ListParagraph"/>
              <w:numPr>
                <w:ilvl w:val="1"/>
                <w:numId w:val="2"/>
              </w:numPr>
              <w:jc w:val="both"/>
              <w:rPr>
                <w:lang w:val="en-NZ"/>
              </w:rPr>
            </w:pPr>
            <w:hyperlink r:id="rId13" w:history="1">
              <w:r w:rsidRPr="00986DDC">
                <w:rPr>
                  <w:rStyle w:val="Hyperlink"/>
                  <w:lang w:val="en-NZ"/>
                </w:rPr>
                <w:t>AI Ethics Principles</w:t>
              </w:r>
            </w:hyperlink>
          </w:p>
          <w:p w14:paraId="10D006C1" w14:textId="3AE638D0" w:rsidR="00986DDC" w:rsidRDefault="00986DDC" w:rsidP="00986DDC">
            <w:pPr>
              <w:pStyle w:val="ListParagraph"/>
              <w:numPr>
                <w:ilvl w:val="1"/>
                <w:numId w:val="2"/>
              </w:numPr>
              <w:jc w:val="both"/>
              <w:rPr>
                <w:lang w:val="en-NZ"/>
              </w:rPr>
            </w:pPr>
            <w:hyperlink r:id="rId14" w:history="1">
              <w:r w:rsidRPr="00986DDC">
                <w:rPr>
                  <w:rStyle w:val="Hyperlink"/>
                  <w:lang w:val="en-NZ"/>
                </w:rPr>
                <w:t>Building Knowledge</w:t>
              </w:r>
            </w:hyperlink>
          </w:p>
          <w:p w14:paraId="029E56D3" w14:textId="31762281" w:rsidR="00986DDC" w:rsidRDefault="00986DDC" w:rsidP="00986DDC">
            <w:pPr>
              <w:jc w:val="both"/>
              <w:rPr>
                <w:rStyle w:val="Hyperlink"/>
                <w:lang w:val="en-NZ"/>
              </w:rPr>
            </w:pPr>
            <w:hyperlink r:id="rId15" w:history="1">
              <w:r w:rsidRPr="00986DDC">
                <w:rPr>
                  <w:rStyle w:val="Hyperlink"/>
                  <w:lang w:val="en-NZ"/>
                </w:rPr>
                <w:t>dapaanz: Guidelines on the use of AI (2025).</w:t>
              </w:r>
            </w:hyperlink>
          </w:p>
          <w:p w14:paraId="30AB7287" w14:textId="0F88A6F3" w:rsidR="00627B87" w:rsidRDefault="00627B87" w:rsidP="00986DDC">
            <w:pPr>
              <w:jc w:val="both"/>
              <w:rPr>
                <w:lang w:val="en-NZ"/>
              </w:rPr>
            </w:pPr>
            <w:hyperlink r:id="rId16" w:history="1">
              <w:r w:rsidRPr="00627B87">
                <w:rPr>
                  <w:rStyle w:val="Hyperlink"/>
                </w:rPr>
                <w:t>DIGITAL.GOVT.NZ: Public service AI framework</w:t>
              </w:r>
            </w:hyperlink>
          </w:p>
          <w:p w14:paraId="57BE6B30" w14:textId="3999EE38" w:rsidR="00A55EFD" w:rsidRDefault="00A55EFD" w:rsidP="00986DDC">
            <w:pPr>
              <w:jc w:val="both"/>
              <w:rPr>
                <w:rStyle w:val="Hyperlink"/>
                <w:lang w:val="en-NZ"/>
              </w:rPr>
            </w:pPr>
            <w:hyperlink r:id="rId17" w:history="1">
              <w:r w:rsidRPr="00A55EFD">
                <w:rPr>
                  <w:rStyle w:val="Hyperlink"/>
                  <w:lang w:val="en-NZ"/>
                </w:rPr>
                <w:t>Health NZ/Te Whatu Ora: Generative AI and Large Language Models</w:t>
              </w:r>
            </w:hyperlink>
          </w:p>
          <w:p w14:paraId="20F2BA52" w14:textId="404B66DB" w:rsidR="003C1E9D" w:rsidRPr="00986DDC" w:rsidRDefault="003C1E9D" w:rsidP="00986DDC">
            <w:pPr>
              <w:jc w:val="both"/>
              <w:rPr>
                <w:lang w:val="en-NZ"/>
              </w:rPr>
            </w:pPr>
            <w:hyperlink r:id="rId18" w:anchor="_ga=2.115110980.219310740.1559189463-982325051.1550030334" w:history="1">
              <w:r w:rsidRPr="003C1E9D">
                <w:rPr>
                  <w:rStyle w:val="Hyperlink"/>
                  <w:lang w:val="en-NZ"/>
                </w:rPr>
                <w:t>OECD Recommendation on Artificial Intelligence</w:t>
              </w:r>
            </w:hyperlink>
          </w:p>
          <w:p w14:paraId="36929359" w14:textId="2B70AA82" w:rsidR="00627B87" w:rsidRPr="005A6797" w:rsidRDefault="00B014D2" w:rsidP="00ED5F07">
            <w:pPr>
              <w:jc w:val="both"/>
              <w:rPr>
                <w:lang w:val="en-NZ"/>
              </w:rPr>
            </w:pPr>
            <w:hyperlink r:id="rId19" w:history="1">
              <w:r w:rsidRPr="00B014D2">
                <w:rPr>
                  <w:rStyle w:val="Hyperlink"/>
                  <w:lang w:val="en-NZ"/>
                </w:rPr>
                <w:t>Privacy Commissioner: Artificial intelligence and the Information Privacy Principles (2023)</w:t>
              </w:r>
            </w:hyperlink>
          </w:p>
        </w:tc>
      </w:tr>
    </w:tbl>
    <w:p w14:paraId="413EB51B" w14:textId="77777777" w:rsidR="00B25EBD" w:rsidRDefault="00B25EBD"/>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2"/>
      </w:tblGrid>
      <w:tr w:rsidR="00654680" w:rsidRPr="00F03442" w14:paraId="7DAE93FD" w14:textId="77777777" w:rsidTr="00181BC5">
        <w:trPr>
          <w:trHeight w:val="170"/>
        </w:trPr>
        <w:tc>
          <w:tcPr>
            <w:tcW w:w="4962" w:type="dxa"/>
            <w:shd w:val="clear" w:color="auto" w:fill="F3F3F3"/>
          </w:tcPr>
          <w:p w14:paraId="6A31F311" w14:textId="77777777" w:rsidR="00654680" w:rsidRPr="00654680" w:rsidRDefault="00654680" w:rsidP="002C42F0">
            <w:pPr>
              <w:jc w:val="both"/>
              <w:rPr>
                <w:b/>
                <w:bCs/>
              </w:rPr>
            </w:pPr>
            <w:r w:rsidRPr="00654680">
              <w:rPr>
                <w:b/>
                <w:bCs/>
              </w:rPr>
              <w:lastRenderedPageBreak/>
              <w:t>Benefits of AI (Health NZ)</w:t>
            </w:r>
          </w:p>
        </w:tc>
        <w:tc>
          <w:tcPr>
            <w:tcW w:w="4962" w:type="dxa"/>
            <w:shd w:val="clear" w:color="auto" w:fill="F3F3F3"/>
          </w:tcPr>
          <w:p w14:paraId="5A72B5A0" w14:textId="3FD36914" w:rsidR="00654680" w:rsidRPr="00654680" w:rsidRDefault="00654680" w:rsidP="002C42F0">
            <w:pPr>
              <w:jc w:val="both"/>
              <w:rPr>
                <w:b/>
                <w:bCs/>
              </w:rPr>
            </w:pPr>
            <w:r>
              <w:rPr>
                <w:b/>
                <w:bCs/>
              </w:rPr>
              <w:t>Risks of AI (Health NZ</w:t>
            </w:r>
          </w:p>
        </w:tc>
      </w:tr>
      <w:tr w:rsidR="005222EE" w:rsidRPr="00F03442" w14:paraId="3A5E2C18" w14:textId="77777777" w:rsidTr="00602642">
        <w:trPr>
          <w:trHeight w:val="170"/>
        </w:trPr>
        <w:tc>
          <w:tcPr>
            <w:tcW w:w="4962" w:type="dxa"/>
          </w:tcPr>
          <w:p w14:paraId="32757939" w14:textId="164E2CB7" w:rsidR="005222EE" w:rsidRDefault="005222EE" w:rsidP="00ED5A62">
            <w:pPr>
              <w:jc w:val="both"/>
            </w:pPr>
            <w:r w:rsidRPr="00654680">
              <w:t>Generative AI tools appear to be good at summarising information and describing it in language that makes sense to people. Their major strength is in predicting the next most likely word. These tools can generate convincing texts but are also prone to generating inaccurate or misleading information.</w:t>
            </w:r>
          </w:p>
        </w:tc>
        <w:tc>
          <w:tcPr>
            <w:tcW w:w="4962" w:type="dxa"/>
          </w:tcPr>
          <w:p w14:paraId="5446C771" w14:textId="555F8852" w:rsidR="005222EE" w:rsidRDefault="005222EE" w:rsidP="002C42F0">
            <w:pPr>
              <w:jc w:val="both"/>
            </w:pPr>
            <w:r w:rsidRPr="00654680">
              <w:t>Limited data exists about the utility, validity and safety of using these technologies. The potential use of these tools for healthcare have not yet been adequately evaluated for risks or unintended consequences. Therefore, a precautionary approach</w:t>
            </w:r>
            <w:r>
              <w:t xml:space="preserve"> is required</w:t>
            </w:r>
            <w:r w:rsidRPr="00654680">
              <w:t>.</w:t>
            </w:r>
          </w:p>
        </w:tc>
      </w:tr>
      <w:tr w:rsidR="005222EE" w:rsidRPr="00F03442" w14:paraId="28C1CCFB" w14:textId="77777777" w:rsidTr="00602642">
        <w:trPr>
          <w:trHeight w:val="170"/>
        </w:trPr>
        <w:tc>
          <w:tcPr>
            <w:tcW w:w="4962" w:type="dxa"/>
          </w:tcPr>
          <w:p w14:paraId="45F5AEE3" w14:textId="77777777" w:rsidR="005222EE" w:rsidRDefault="00116B2E" w:rsidP="00116B2E">
            <w:pPr>
              <w:widowControl w:val="0"/>
              <w:tabs>
                <w:tab w:val="left" w:pos="1113"/>
                <w:tab w:val="left" w:pos="1114"/>
              </w:tabs>
              <w:autoSpaceDE w:val="0"/>
              <w:autoSpaceDN w:val="0"/>
              <w:spacing w:before="30"/>
              <w:jc w:val="both"/>
            </w:pPr>
            <w:r>
              <w:t>Specific benefits:</w:t>
            </w:r>
          </w:p>
          <w:p w14:paraId="46E94EF4" w14:textId="6E767B8B" w:rsidR="00116B2E" w:rsidRDefault="00116B2E" w:rsidP="00116B2E">
            <w:pPr>
              <w:pStyle w:val="ListParagraph"/>
              <w:widowControl w:val="0"/>
              <w:numPr>
                <w:ilvl w:val="0"/>
                <w:numId w:val="13"/>
              </w:numPr>
              <w:tabs>
                <w:tab w:val="left" w:pos="1113"/>
                <w:tab w:val="left" w:pos="1114"/>
              </w:tabs>
              <w:autoSpaceDE w:val="0"/>
              <w:autoSpaceDN w:val="0"/>
              <w:spacing w:before="30"/>
              <w:jc w:val="both"/>
            </w:pPr>
            <w:r>
              <w:t>improved productivity and efficiency</w:t>
            </w:r>
          </w:p>
          <w:p w14:paraId="66E924AE" w14:textId="0B85D8EB" w:rsidR="00116B2E" w:rsidRDefault="00116B2E" w:rsidP="00116B2E">
            <w:pPr>
              <w:pStyle w:val="ListParagraph"/>
              <w:widowControl w:val="0"/>
              <w:numPr>
                <w:ilvl w:val="0"/>
                <w:numId w:val="13"/>
              </w:numPr>
              <w:tabs>
                <w:tab w:val="left" w:pos="1113"/>
                <w:tab w:val="left" w:pos="1114"/>
              </w:tabs>
              <w:autoSpaceDE w:val="0"/>
              <w:autoSpaceDN w:val="0"/>
              <w:spacing w:before="30"/>
              <w:jc w:val="both"/>
            </w:pPr>
            <w:r>
              <w:t>enhanced creativity</w:t>
            </w:r>
          </w:p>
          <w:p w14:paraId="3062684E" w14:textId="77777777" w:rsidR="00116B2E" w:rsidRDefault="00116B2E" w:rsidP="00116B2E">
            <w:pPr>
              <w:pStyle w:val="ListParagraph"/>
              <w:widowControl w:val="0"/>
              <w:numPr>
                <w:ilvl w:val="0"/>
                <w:numId w:val="13"/>
              </w:numPr>
              <w:tabs>
                <w:tab w:val="left" w:pos="1113"/>
                <w:tab w:val="left" w:pos="1114"/>
              </w:tabs>
              <w:autoSpaceDE w:val="0"/>
              <w:autoSpaceDN w:val="0"/>
              <w:spacing w:before="30"/>
              <w:jc w:val="both"/>
            </w:pPr>
            <w:r>
              <w:t>reduced risks of error</w:t>
            </w:r>
          </w:p>
          <w:p w14:paraId="30D0038E" w14:textId="6BC63CB5" w:rsidR="00116B2E" w:rsidRPr="00654680" w:rsidRDefault="00116B2E" w:rsidP="00116B2E">
            <w:pPr>
              <w:pStyle w:val="ListParagraph"/>
              <w:widowControl w:val="0"/>
              <w:numPr>
                <w:ilvl w:val="0"/>
                <w:numId w:val="13"/>
              </w:numPr>
              <w:tabs>
                <w:tab w:val="left" w:pos="1113"/>
                <w:tab w:val="left" w:pos="1114"/>
              </w:tabs>
              <w:autoSpaceDE w:val="0"/>
              <w:autoSpaceDN w:val="0"/>
              <w:spacing w:before="30"/>
              <w:jc w:val="both"/>
            </w:pPr>
            <w:r>
              <w:t>access to a broader range of information sources</w:t>
            </w:r>
          </w:p>
        </w:tc>
        <w:tc>
          <w:tcPr>
            <w:tcW w:w="4962" w:type="dxa"/>
          </w:tcPr>
          <w:p w14:paraId="586C0115" w14:textId="77777777" w:rsidR="005222EE" w:rsidRDefault="005222EE" w:rsidP="002C42F0">
            <w:pPr>
              <w:jc w:val="both"/>
            </w:pPr>
            <w:r>
              <w:t>Specific Risks:</w:t>
            </w:r>
          </w:p>
          <w:p w14:paraId="6CA7C9F1" w14:textId="06B66307" w:rsidR="005222EE" w:rsidRDefault="005222EE" w:rsidP="005222EE">
            <w:pPr>
              <w:pStyle w:val="ListParagraph"/>
              <w:numPr>
                <w:ilvl w:val="0"/>
                <w:numId w:val="8"/>
              </w:numPr>
              <w:jc w:val="both"/>
            </w:pPr>
            <w:r>
              <w:t>privacy breaches</w:t>
            </w:r>
          </w:p>
          <w:p w14:paraId="6D864064" w14:textId="77777777" w:rsidR="005222EE" w:rsidRDefault="005222EE" w:rsidP="005222EE">
            <w:pPr>
              <w:pStyle w:val="ListParagraph"/>
              <w:numPr>
                <w:ilvl w:val="0"/>
                <w:numId w:val="8"/>
              </w:numPr>
              <w:jc w:val="both"/>
            </w:pPr>
            <w:r>
              <w:t>inaccurate information</w:t>
            </w:r>
          </w:p>
          <w:p w14:paraId="0FA9323A" w14:textId="77777777" w:rsidR="005222EE" w:rsidRDefault="005222EE" w:rsidP="005222EE">
            <w:pPr>
              <w:pStyle w:val="ListParagraph"/>
              <w:numPr>
                <w:ilvl w:val="0"/>
                <w:numId w:val="8"/>
              </w:numPr>
              <w:jc w:val="both"/>
            </w:pPr>
            <w:r>
              <w:t>inequities and bias</w:t>
            </w:r>
          </w:p>
          <w:p w14:paraId="3320261C" w14:textId="77777777" w:rsidR="005222EE" w:rsidRDefault="005222EE" w:rsidP="005222EE">
            <w:pPr>
              <w:pStyle w:val="ListParagraph"/>
              <w:numPr>
                <w:ilvl w:val="0"/>
                <w:numId w:val="8"/>
              </w:numPr>
              <w:jc w:val="both"/>
            </w:pPr>
            <w:r>
              <w:t>lack of transparency</w:t>
            </w:r>
          </w:p>
          <w:p w14:paraId="1BC4C079" w14:textId="77777777" w:rsidR="005222EE" w:rsidRDefault="005222EE" w:rsidP="005222EE">
            <w:pPr>
              <w:pStyle w:val="ListParagraph"/>
              <w:numPr>
                <w:ilvl w:val="0"/>
                <w:numId w:val="8"/>
              </w:numPr>
              <w:jc w:val="both"/>
            </w:pPr>
            <w:r>
              <w:t>infringement of intellectual property</w:t>
            </w:r>
          </w:p>
          <w:p w14:paraId="29E58C9D" w14:textId="77777777" w:rsidR="005222EE" w:rsidRDefault="005222EE" w:rsidP="005222EE">
            <w:pPr>
              <w:pStyle w:val="ListParagraph"/>
              <w:numPr>
                <w:ilvl w:val="0"/>
                <w:numId w:val="8"/>
              </w:numPr>
              <w:jc w:val="both"/>
            </w:pPr>
            <w:r>
              <w:t>under representation of supported languages</w:t>
            </w:r>
          </w:p>
          <w:p w14:paraId="3725307C" w14:textId="69651C6A" w:rsidR="00116B2E" w:rsidRPr="00654680" w:rsidRDefault="00116B2E" w:rsidP="005222EE">
            <w:pPr>
              <w:pStyle w:val="ListParagraph"/>
              <w:numPr>
                <w:ilvl w:val="0"/>
                <w:numId w:val="8"/>
              </w:numPr>
              <w:jc w:val="both"/>
            </w:pPr>
            <w:r>
              <w:t>inappropriate content</w:t>
            </w:r>
          </w:p>
        </w:tc>
      </w:tr>
      <w:tr w:rsidR="00AC773B" w:rsidRPr="00F03442" w14:paraId="7E81F030" w14:textId="77777777" w:rsidTr="00AC773B">
        <w:trPr>
          <w:trHeight w:val="170"/>
        </w:trPr>
        <w:tc>
          <w:tcPr>
            <w:tcW w:w="9924" w:type="dxa"/>
            <w:gridSpan w:val="2"/>
            <w:shd w:val="clear" w:color="auto" w:fill="F2F2F2" w:themeFill="background1" w:themeFillShade="F2"/>
          </w:tcPr>
          <w:p w14:paraId="56E7324F" w14:textId="7AAE0F0B" w:rsidR="00AC773B" w:rsidRPr="00AC773B" w:rsidRDefault="00AC773B" w:rsidP="002C42F0">
            <w:pPr>
              <w:jc w:val="both"/>
              <w:rPr>
                <w:b/>
                <w:bCs/>
              </w:rPr>
            </w:pPr>
            <w:r w:rsidRPr="00AC773B">
              <w:rPr>
                <w:b/>
                <w:bCs/>
              </w:rPr>
              <w:t>Values</w:t>
            </w:r>
            <w:r>
              <w:rPr>
                <w:b/>
                <w:bCs/>
              </w:rPr>
              <w:t xml:space="preserve"> based principles</w:t>
            </w:r>
          </w:p>
        </w:tc>
      </w:tr>
      <w:tr w:rsidR="00AC773B" w:rsidRPr="00F03442" w14:paraId="57A31556" w14:textId="77777777" w:rsidTr="00AC773B">
        <w:trPr>
          <w:trHeight w:val="170"/>
        </w:trPr>
        <w:tc>
          <w:tcPr>
            <w:tcW w:w="9924" w:type="dxa"/>
            <w:gridSpan w:val="2"/>
            <w:shd w:val="clear" w:color="auto" w:fill="FFFFFF" w:themeFill="background1"/>
          </w:tcPr>
          <w:p w14:paraId="3FB7229A" w14:textId="6E87A3F9" w:rsidR="00AC773B" w:rsidRDefault="00AC773B" w:rsidP="002C42F0">
            <w:pPr>
              <w:jc w:val="both"/>
              <w:rPr>
                <w:b/>
                <w:bCs/>
              </w:rPr>
            </w:pPr>
            <w:r w:rsidRPr="00AC773B">
              <w:t xml:space="preserve">Our AI use is informed by the following </w:t>
            </w:r>
            <w:r w:rsidR="00EE3FFB" w:rsidRPr="00AC773B">
              <w:t>values-based</w:t>
            </w:r>
            <w:r w:rsidRPr="00AC773B">
              <w:t xml:space="preserve"> principles (</w:t>
            </w:r>
            <w:hyperlink r:id="rId20" w:history="1">
              <w:r w:rsidRPr="00AC773B">
                <w:rPr>
                  <w:rStyle w:val="Hyperlink"/>
                </w:rPr>
                <w:t>OECD</w:t>
              </w:r>
            </w:hyperlink>
            <w:r>
              <w:rPr>
                <w:b/>
                <w:bCs/>
              </w:rPr>
              <w:t>):</w:t>
            </w:r>
          </w:p>
          <w:p w14:paraId="72BA8014" w14:textId="168C9E62" w:rsidR="00AC773B" w:rsidRDefault="00AC773B" w:rsidP="00AC773B">
            <w:pPr>
              <w:pStyle w:val="ListParagraph"/>
              <w:numPr>
                <w:ilvl w:val="0"/>
                <w:numId w:val="11"/>
              </w:numPr>
              <w:jc w:val="both"/>
            </w:pPr>
            <w:r>
              <w:t xml:space="preserve">Inclusive </w:t>
            </w:r>
            <w:r w:rsidR="00DF00B6">
              <w:t xml:space="preserve">of </w:t>
            </w:r>
            <w:r>
              <w:t>growth, sustainable development, and wellbeing.</w:t>
            </w:r>
          </w:p>
          <w:p w14:paraId="30BEC5BA" w14:textId="77777777" w:rsidR="00AC773B" w:rsidRDefault="00AC773B" w:rsidP="00AC773B">
            <w:pPr>
              <w:pStyle w:val="ListParagraph"/>
              <w:numPr>
                <w:ilvl w:val="0"/>
                <w:numId w:val="11"/>
              </w:numPr>
              <w:jc w:val="both"/>
            </w:pPr>
            <w:r>
              <w:t>Human rights and democratic values, including fairness and privacy.</w:t>
            </w:r>
          </w:p>
          <w:p w14:paraId="6C0A4A2C" w14:textId="77777777" w:rsidR="00AC773B" w:rsidRDefault="00AC773B" w:rsidP="00AC773B">
            <w:pPr>
              <w:pStyle w:val="ListParagraph"/>
              <w:numPr>
                <w:ilvl w:val="0"/>
                <w:numId w:val="11"/>
              </w:numPr>
              <w:jc w:val="both"/>
            </w:pPr>
            <w:r>
              <w:t>Transparency and explainability.</w:t>
            </w:r>
          </w:p>
          <w:p w14:paraId="1EC404C8" w14:textId="77777777" w:rsidR="00AC773B" w:rsidRDefault="00AC773B" w:rsidP="00AC773B">
            <w:pPr>
              <w:pStyle w:val="ListParagraph"/>
              <w:numPr>
                <w:ilvl w:val="0"/>
                <w:numId w:val="11"/>
              </w:numPr>
              <w:jc w:val="both"/>
            </w:pPr>
            <w:r>
              <w:t>Robustness, security and safety.</w:t>
            </w:r>
          </w:p>
          <w:p w14:paraId="316A5747" w14:textId="7E79ECF2" w:rsidR="00AC773B" w:rsidRPr="00AC773B" w:rsidRDefault="00AC773B" w:rsidP="00AC773B">
            <w:pPr>
              <w:pStyle w:val="ListParagraph"/>
              <w:numPr>
                <w:ilvl w:val="0"/>
                <w:numId w:val="11"/>
              </w:numPr>
              <w:jc w:val="both"/>
            </w:pPr>
            <w:r>
              <w:t xml:space="preserve">Accountability. </w:t>
            </w:r>
          </w:p>
        </w:tc>
      </w:tr>
      <w:tr w:rsidR="00AC773B" w:rsidRPr="00F03442" w14:paraId="39462D7B" w14:textId="77777777" w:rsidTr="00AC773B">
        <w:trPr>
          <w:trHeight w:val="170"/>
        </w:trPr>
        <w:tc>
          <w:tcPr>
            <w:tcW w:w="9924" w:type="dxa"/>
            <w:gridSpan w:val="2"/>
            <w:shd w:val="clear" w:color="auto" w:fill="FFFFFF" w:themeFill="background1"/>
          </w:tcPr>
          <w:p w14:paraId="7BEA8A93" w14:textId="2B1E2616" w:rsidR="00AC773B" w:rsidRDefault="00AC773B" w:rsidP="002C42F0">
            <w:pPr>
              <w:jc w:val="both"/>
            </w:pPr>
            <w:r>
              <w:t>We express those principles by (</w:t>
            </w:r>
            <w:r w:rsidR="00ED5A62">
              <w:t xml:space="preserve">Adapted from </w:t>
            </w:r>
            <w:r>
              <w:t>Te Whatu Ora Waitemata</w:t>
            </w:r>
            <w:r w:rsidR="00ED5A62">
              <w:t xml:space="preserve"> AI principles</w:t>
            </w:r>
            <w:r>
              <w:t>)</w:t>
            </w:r>
            <w:r w:rsidR="00ED5A62">
              <w:t xml:space="preserve"> considering</w:t>
            </w:r>
            <w:r>
              <w:t>:</w:t>
            </w:r>
          </w:p>
          <w:p w14:paraId="660EB8C2" w14:textId="26D18697" w:rsidR="00AC773B" w:rsidRPr="006A4E65" w:rsidRDefault="00ED5A62" w:rsidP="00AC773B">
            <w:pPr>
              <w:numPr>
                <w:ilvl w:val="0"/>
                <w:numId w:val="4"/>
              </w:numPr>
              <w:rPr>
                <w:lang w:val="en-NZ"/>
              </w:rPr>
            </w:pPr>
            <w:r>
              <w:rPr>
                <w:lang w:val="en-NZ"/>
              </w:rPr>
              <w:t>P</w:t>
            </w:r>
            <w:r w:rsidR="00AC773B" w:rsidRPr="006A4E65">
              <w:rPr>
                <w:lang w:val="en-NZ"/>
              </w:rPr>
              <w:t xml:space="preserve">erspectives </w:t>
            </w:r>
            <w:r>
              <w:rPr>
                <w:lang w:val="en-NZ"/>
              </w:rPr>
              <w:t xml:space="preserve">of people engaged with mental health, addiction or disability services </w:t>
            </w:r>
            <w:r w:rsidR="00AC773B" w:rsidRPr="006A4E65">
              <w:rPr>
                <w:lang w:val="en-NZ"/>
              </w:rPr>
              <w:t>and the promotion of wellbeing and safety</w:t>
            </w:r>
            <w:r>
              <w:rPr>
                <w:lang w:val="en-NZ"/>
              </w:rPr>
              <w:t>.</w:t>
            </w:r>
          </w:p>
          <w:p w14:paraId="5DD2DCF7" w14:textId="754C03A1" w:rsidR="00AC773B" w:rsidRPr="006A4E65" w:rsidRDefault="00AC773B" w:rsidP="00AC773B">
            <w:pPr>
              <w:numPr>
                <w:ilvl w:val="0"/>
                <w:numId w:val="4"/>
              </w:numPr>
              <w:rPr>
                <w:lang w:val="en-NZ"/>
              </w:rPr>
            </w:pPr>
            <w:r w:rsidRPr="006A4E65">
              <w:rPr>
                <w:lang w:val="en-NZ"/>
              </w:rPr>
              <w:t>Māori engagement and perspectives</w:t>
            </w:r>
            <w:r w:rsidR="00ED5A62">
              <w:rPr>
                <w:lang w:val="en-NZ"/>
              </w:rPr>
              <w:t>.</w:t>
            </w:r>
          </w:p>
          <w:p w14:paraId="7D73DE8C" w14:textId="5F7767C2" w:rsidR="00AC773B" w:rsidRPr="006A4E65" w:rsidRDefault="00ED5A62" w:rsidP="00AC773B">
            <w:pPr>
              <w:numPr>
                <w:ilvl w:val="0"/>
                <w:numId w:val="4"/>
              </w:numPr>
              <w:rPr>
                <w:lang w:val="en-NZ"/>
              </w:rPr>
            </w:pPr>
            <w:r>
              <w:rPr>
                <w:lang w:val="en-NZ"/>
              </w:rPr>
              <w:t>I</w:t>
            </w:r>
            <w:r w:rsidR="00AC773B" w:rsidRPr="006A4E65">
              <w:rPr>
                <w:lang w:val="en-NZ"/>
              </w:rPr>
              <w:t>nclusiveness and equity, reducing bias</w:t>
            </w:r>
            <w:r>
              <w:rPr>
                <w:lang w:val="en-NZ"/>
              </w:rPr>
              <w:t>.</w:t>
            </w:r>
          </w:p>
          <w:p w14:paraId="2C806C0B" w14:textId="2B3C90D4" w:rsidR="00AC773B" w:rsidRPr="006A4E65" w:rsidRDefault="00ED5A62" w:rsidP="00AC773B">
            <w:pPr>
              <w:numPr>
                <w:ilvl w:val="0"/>
                <w:numId w:val="4"/>
              </w:numPr>
              <w:rPr>
                <w:lang w:val="en-NZ"/>
              </w:rPr>
            </w:pPr>
            <w:r>
              <w:rPr>
                <w:lang w:val="en-NZ"/>
              </w:rPr>
              <w:t>G</w:t>
            </w:r>
            <w:r w:rsidR="00AC773B" w:rsidRPr="006A4E65">
              <w:rPr>
                <w:lang w:val="en-NZ"/>
              </w:rPr>
              <w:t>uardianship of data as taonga</w:t>
            </w:r>
            <w:r>
              <w:rPr>
                <w:lang w:val="en-NZ"/>
              </w:rPr>
              <w:t>.</w:t>
            </w:r>
          </w:p>
          <w:p w14:paraId="55BDB3F7" w14:textId="2B27DAD8" w:rsidR="00AC773B" w:rsidRPr="006A4E65" w:rsidRDefault="00ED5A62" w:rsidP="00AC773B">
            <w:pPr>
              <w:numPr>
                <w:ilvl w:val="0"/>
                <w:numId w:val="4"/>
              </w:numPr>
              <w:rPr>
                <w:lang w:val="en-NZ"/>
              </w:rPr>
            </w:pPr>
            <w:r>
              <w:rPr>
                <w:lang w:val="en-NZ"/>
              </w:rPr>
              <w:t>T</w:t>
            </w:r>
            <w:r w:rsidR="00AC773B" w:rsidRPr="006A4E65">
              <w:rPr>
                <w:lang w:val="en-NZ"/>
              </w:rPr>
              <w:t>echnical methods and sustainability of quality</w:t>
            </w:r>
            <w:r>
              <w:rPr>
                <w:lang w:val="en-NZ"/>
              </w:rPr>
              <w:t>.</w:t>
            </w:r>
          </w:p>
          <w:p w14:paraId="69ADFFFE" w14:textId="239F5B0E" w:rsidR="00AC773B" w:rsidRPr="006A4E65" w:rsidRDefault="00ED5A62" w:rsidP="00AC773B">
            <w:pPr>
              <w:numPr>
                <w:ilvl w:val="0"/>
                <w:numId w:val="4"/>
              </w:numPr>
              <w:rPr>
                <w:lang w:val="en-NZ"/>
              </w:rPr>
            </w:pPr>
            <w:r>
              <w:rPr>
                <w:lang w:val="en-NZ"/>
              </w:rPr>
              <w:t>A</w:t>
            </w:r>
            <w:r w:rsidR="00AC773B" w:rsidRPr="006A4E65">
              <w:rPr>
                <w:lang w:val="en-NZ"/>
              </w:rPr>
              <w:t>ccountability and responsibilities (legal and contractual requirements)</w:t>
            </w:r>
          </w:p>
          <w:p w14:paraId="53429760" w14:textId="29F49CFD" w:rsidR="00AC773B" w:rsidRPr="006A4E65" w:rsidRDefault="00ED5A62" w:rsidP="00AC773B">
            <w:pPr>
              <w:numPr>
                <w:ilvl w:val="0"/>
                <w:numId w:val="4"/>
              </w:numPr>
              <w:rPr>
                <w:lang w:val="en-NZ"/>
              </w:rPr>
            </w:pPr>
            <w:r>
              <w:rPr>
                <w:lang w:val="en-NZ"/>
              </w:rPr>
              <w:t>E</w:t>
            </w:r>
            <w:r w:rsidR="00AC773B" w:rsidRPr="006A4E65">
              <w:rPr>
                <w:lang w:val="en-NZ"/>
              </w:rPr>
              <w:t>thical principles, including transparency in design and implementation</w:t>
            </w:r>
          </w:p>
          <w:p w14:paraId="219DAEC3" w14:textId="43159803" w:rsidR="00AC773B" w:rsidRPr="00AC773B" w:rsidRDefault="00ED5A62" w:rsidP="00ED5A62">
            <w:pPr>
              <w:numPr>
                <w:ilvl w:val="0"/>
                <w:numId w:val="4"/>
              </w:numPr>
            </w:pPr>
            <w:r>
              <w:rPr>
                <w:lang w:val="en-NZ"/>
              </w:rPr>
              <w:t>S</w:t>
            </w:r>
            <w:r w:rsidR="00AC773B" w:rsidRPr="006A4E65">
              <w:rPr>
                <w:lang w:val="en-NZ"/>
              </w:rPr>
              <w:t>tandard approval compliance including, privacy impact, security review, research ethics approvals, where</w:t>
            </w:r>
            <w:r w:rsidR="00EE3FFB">
              <w:rPr>
                <w:lang w:val="en-NZ"/>
              </w:rPr>
              <w:t xml:space="preserve"> relevant</w:t>
            </w:r>
            <w:r w:rsidR="00AC773B" w:rsidRPr="006A4E65">
              <w:rPr>
                <w:lang w:val="en-NZ"/>
              </w:rPr>
              <w:t>.</w:t>
            </w:r>
          </w:p>
        </w:tc>
      </w:tr>
      <w:tr w:rsidR="00ED5A62" w:rsidRPr="00F03442" w14:paraId="00BDB1F6" w14:textId="77777777" w:rsidTr="00B05DA2">
        <w:trPr>
          <w:trHeight w:val="170"/>
        </w:trPr>
        <w:tc>
          <w:tcPr>
            <w:tcW w:w="9924" w:type="dxa"/>
            <w:gridSpan w:val="2"/>
            <w:shd w:val="clear" w:color="auto" w:fill="F2F2F2" w:themeFill="background1" w:themeFillShade="F2"/>
          </w:tcPr>
          <w:p w14:paraId="01DC6FE7" w14:textId="1FD588DD" w:rsidR="00ED5A62" w:rsidRPr="00ED5A62" w:rsidRDefault="00ED5A62" w:rsidP="002C42F0">
            <w:pPr>
              <w:jc w:val="both"/>
              <w:rPr>
                <w:b/>
                <w:bCs/>
                <w:sz w:val="28"/>
                <w:szCs w:val="28"/>
              </w:rPr>
            </w:pPr>
            <w:r w:rsidRPr="00ED5A62">
              <w:rPr>
                <w:b/>
                <w:bCs/>
                <w:sz w:val="28"/>
                <w:szCs w:val="28"/>
              </w:rPr>
              <w:t>Processes</w:t>
            </w:r>
          </w:p>
        </w:tc>
      </w:tr>
      <w:tr w:rsidR="00ED5A62" w:rsidRPr="00F03442" w14:paraId="368746CF" w14:textId="77777777" w:rsidTr="00AC773B">
        <w:trPr>
          <w:trHeight w:val="170"/>
        </w:trPr>
        <w:tc>
          <w:tcPr>
            <w:tcW w:w="9924" w:type="dxa"/>
            <w:gridSpan w:val="2"/>
            <w:shd w:val="clear" w:color="auto" w:fill="FFFFFF" w:themeFill="background1"/>
          </w:tcPr>
          <w:p w14:paraId="4C8997D9" w14:textId="77777777" w:rsidR="00ED5A62" w:rsidRDefault="00443E17" w:rsidP="00A05AA4">
            <w:pPr>
              <w:pStyle w:val="ListParagraph"/>
              <w:numPr>
                <w:ilvl w:val="0"/>
                <w:numId w:val="14"/>
              </w:numPr>
              <w:jc w:val="both"/>
              <w:rPr>
                <w:szCs w:val="22"/>
              </w:rPr>
            </w:pPr>
            <w:r>
              <w:rPr>
                <w:szCs w:val="22"/>
              </w:rPr>
              <w:t>Our IT specialist will conduct an impact assessment to identify the potential benefits and risks associated with each AI tool being considered for the use by our organisation.</w:t>
            </w:r>
            <w:r w:rsidR="007F128E">
              <w:rPr>
                <w:szCs w:val="22"/>
              </w:rPr>
              <w:t xml:space="preserve"> This involves a full assessment of risk and mitigations, including privacy risks. Consideration is given to whether the use of a particular generative AI tool is necessary and proportionate given the potential risks and any alternative approaches available.</w:t>
            </w:r>
          </w:p>
          <w:p w14:paraId="755D36B8" w14:textId="77777777" w:rsidR="007F128E" w:rsidRDefault="007F128E" w:rsidP="00A05AA4">
            <w:pPr>
              <w:pStyle w:val="ListParagraph"/>
              <w:numPr>
                <w:ilvl w:val="0"/>
                <w:numId w:val="14"/>
              </w:numPr>
              <w:jc w:val="both"/>
              <w:rPr>
                <w:szCs w:val="22"/>
              </w:rPr>
            </w:pPr>
            <w:r>
              <w:rPr>
                <w:szCs w:val="22"/>
              </w:rPr>
              <w:t>Only AI tools that allow for the correction of information supplied will be approved.</w:t>
            </w:r>
          </w:p>
          <w:p w14:paraId="0813BB87" w14:textId="77777777" w:rsidR="007F128E" w:rsidRDefault="007F128E" w:rsidP="00A05AA4">
            <w:pPr>
              <w:pStyle w:val="ListParagraph"/>
              <w:numPr>
                <w:ilvl w:val="0"/>
                <w:numId w:val="14"/>
              </w:numPr>
              <w:jc w:val="both"/>
              <w:rPr>
                <w:szCs w:val="22"/>
              </w:rPr>
            </w:pPr>
            <w:r>
              <w:rPr>
                <w:szCs w:val="22"/>
              </w:rPr>
              <w:t>We maintain a schedule of approved AI tools.</w:t>
            </w:r>
          </w:p>
          <w:p w14:paraId="62A3BD5B" w14:textId="77777777" w:rsidR="007F128E" w:rsidRDefault="007F128E" w:rsidP="00A05AA4">
            <w:pPr>
              <w:pStyle w:val="ListParagraph"/>
              <w:numPr>
                <w:ilvl w:val="0"/>
                <w:numId w:val="14"/>
              </w:numPr>
              <w:jc w:val="both"/>
              <w:rPr>
                <w:szCs w:val="22"/>
              </w:rPr>
            </w:pPr>
            <w:r>
              <w:rPr>
                <w:szCs w:val="22"/>
              </w:rPr>
              <w:t>We only allow the use of AI tools on the approved schedule. II tools that are not included on the schedule must not be used in our organisation.</w:t>
            </w:r>
          </w:p>
          <w:p w14:paraId="0DCECAC7" w14:textId="77777777" w:rsidR="007F128E" w:rsidRDefault="007F128E" w:rsidP="00A05AA4">
            <w:pPr>
              <w:pStyle w:val="ListParagraph"/>
              <w:numPr>
                <w:ilvl w:val="0"/>
                <w:numId w:val="14"/>
              </w:numPr>
              <w:jc w:val="both"/>
              <w:rPr>
                <w:szCs w:val="22"/>
              </w:rPr>
            </w:pPr>
            <w:r>
              <w:rPr>
                <w:szCs w:val="22"/>
              </w:rPr>
              <w:t>The approved AI schedule will be reviewed and updated periodically.</w:t>
            </w:r>
          </w:p>
          <w:p w14:paraId="4F0CA61A" w14:textId="77777777" w:rsidR="007F128E" w:rsidRDefault="007F128E" w:rsidP="00A05AA4">
            <w:pPr>
              <w:pStyle w:val="ListParagraph"/>
              <w:numPr>
                <w:ilvl w:val="0"/>
                <w:numId w:val="14"/>
              </w:numPr>
              <w:jc w:val="both"/>
              <w:rPr>
                <w:szCs w:val="22"/>
              </w:rPr>
            </w:pPr>
            <w:r>
              <w:rPr>
                <w:szCs w:val="22"/>
              </w:rPr>
              <w:t>All AI generated content must be reviewed thoroughly by the person creating the content prior to it being finalized, acted upon and/or distributed. Human review and checking must always be the final step in the content creation process, including cultural review where relevant.</w:t>
            </w:r>
          </w:p>
          <w:p w14:paraId="6CC3BAA8" w14:textId="77777777" w:rsidR="007F128E" w:rsidRDefault="007F128E" w:rsidP="00A05AA4">
            <w:pPr>
              <w:pStyle w:val="ListParagraph"/>
              <w:numPr>
                <w:ilvl w:val="0"/>
                <w:numId w:val="14"/>
              </w:numPr>
              <w:jc w:val="both"/>
              <w:rPr>
                <w:szCs w:val="22"/>
              </w:rPr>
            </w:pPr>
            <w:r>
              <w:rPr>
                <w:szCs w:val="22"/>
              </w:rPr>
              <w:t>Individuals using AI remain fully responsible and accountable for the outputs generated from AI use.</w:t>
            </w:r>
          </w:p>
          <w:p w14:paraId="1A5C14C8" w14:textId="77777777" w:rsidR="007F128E" w:rsidRDefault="007F128E" w:rsidP="00A05AA4">
            <w:pPr>
              <w:pStyle w:val="ListParagraph"/>
              <w:numPr>
                <w:ilvl w:val="0"/>
                <w:numId w:val="14"/>
              </w:numPr>
              <w:jc w:val="both"/>
              <w:rPr>
                <w:szCs w:val="22"/>
              </w:rPr>
            </w:pPr>
            <w:r>
              <w:rPr>
                <w:szCs w:val="22"/>
              </w:rPr>
              <w:t xml:space="preserve">AI </w:t>
            </w:r>
            <w:r w:rsidR="001D0826">
              <w:rPr>
                <w:szCs w:val="22"/>
              </w:rPr>
              <w:t>must not be used to gather and collate personal data.</w:t>
            </w:r>
          </w:p>
          <w:p w14:paraId="3BC78DFA" w14:textId="0FF312F6" w:rsidR="006B0FF8" w:rsidRDefault="004B0F8C" w:rsidP="00A05AA4">
            <w:pPr>
              <w:pStyle w:val="ListParagraph"/>
              <w:numPr>
                <w:ilvl w:val="0"/>
                <w:numId w:val="14"/>
              </w:numPr>
              <w:jc w:val="both"/>
              <w:rPr>
                <w:szCs w:val="22"/>
              </w:rPr>
            </w:pPr>
            <w:r>
              <w:rPr>
                <w:szCs w:val="22"/>
              </w:rPr>
              <w:lastRenderedPageBreak/>
              <w:t>We do</w:t>
            </w:r>
            <w:r w:rsidR="006B0FF8">
              <w:rPr>
                <w:szCs w:val="22"/>
              </w:rPr>
              <w:t xml:space="preserve"> not allow AI to be used to automate processes relating to individuals’ service access, delivery and exit processes. For example:</w:t>
            </w:r>
          </w:p>
          <w:p w14:paraId="1B7EE449" w14:textId="77777777" w:rsidR="006B0FF8" w:rsidRDefault="006B0FF8" w:rsidP="006B0FF8">
            <w:pPr>
              <w:pStyle w:val="ListParagraph"/>
              <w:numPr>
                <w:ilvl w:val="0"/>
                <w:numId w:val="15"/>
              </w:numPr>
              <w:jc w:val="both"/>
              <w:rPr>
                <w:szCs w:val="22"/>
              </w:rPr>
            </w:pPr>
            <w:r w:rsidRPr="006B0FF8">
              <w:rPr>
                <w:szCs w:val="22"/>
              </w:rPr>
              <w:t>referral information and triage of referr</w:t>
            </w:r>
            <w:r>
              <w:rPr>
                <w:szCs w:val="22"/>
              </w:rPr>
              <w:t>als</w:t>
            </w:r>
          </w:p>
          <w:p w14:paraId="6ADEC269" w14:textId="77777777" w:rsidR="006B0FF8" w:rsidRDefault="006B0FF8" w:rsidP="006B0FF8">
            <w:pPr>
              <w:pStyle w:val="ListParagraph"/>
              <w:numPr>
                <w:ilvl w:val="0"/>
                <w:numId w:val="15"/>
              </w:numPr>
              <w:jc w:val="both"/>
              <w:rPr>
                <w:szCs w:val="22"/>
              </w:rPr>
            </w:pPr>
            <w:r w:rsidRPr="006B0FF8">
              <w:rPr>
                <w:szCs w:val="22"/>
              </w:rPr>
              <w:t>assessments for suitability to engage with our service</w:t>
            </w:r>
          </w:p>
          <w:p w14:paraId="3C1B6201" w14:textId="77777777" w:rsidR="006B0FF8" w:rsidRDefault="006B0FF8" w:rsidP="006B0FF8">
            <w:pPr>
              <w:pStyle w:val="ListParagraph"/>
              <w:numPr>
                <w:ilvl w:val="0"/>
                <w:numId w:val="15"/>
              </w:numPr>
              <w:jc w:val="both"/>
              <w:rPr>
                <w:szCs w:val="22"/>
              </w:rPr>
            </w:pPr>
            <w:r w:rsidRPr="006B0FF8">
              <w:rPr>
                <w:szCs w:val="22"/>
              </w:rPr>
              <w:t>needs and safety/risk assessments</w:t>
            </w:r>
            <w:r>
              <w:rPr>
                <w:szCs w:val="22"/>
              </w:rPr>
              <w:t xml:space="preserve"> and plans</w:t>
            </w:r>
          </w:p>
          <w:p w14:paraId="0F818C21" w14:textId="0916F3FA" w:rsidR="007C2CD1" w:rsidRDefault="007C2CD1" w:rsidP="006B0FF8">
            <w:pPr>
              <w:pStyle w:val="ListParagraph"/>
              <w:numPr>
                <w:ilvl w:val="0"/>
                <w:numId w:val="15"/>
              </w:numPr>
              <w:jc w:val="both"/>
              <w:rPr>
                <w:szCs w:val="22"/>
              </w:rPr>
            </w:pPr>
            <w:r>
              <w:rPr>
                <w:szCs w:val="22"/>
              </w:rPr>
              <w:t>interventions and support</w:t>
            </w:r>
          </w:p>
          <w:p w14:paraId="6A133734" w14:textId="2BF1A896" w:rsidR="006B0FF8" w:rsidRDefault="006B0FF8" w:rsidP="006B0FF8">
            <w:pPr>
              <w:pStyle w:val="ListParagraph"/>
              <w:numPr>
                <w:ilvl w:val="0"/>
                <w:numId w:val="15"/>
              </w:numPr>
              <w:jc w:val="both"/>
              <w:rPr>
                <w:szCs w:val="22"/>
              </w:rPr>
            </w:pPr>
            <w:r>
              <w:rPr>
                <w:szCs w:val="22"/>
              </w:rPr>
              <w:t>service delivery reviews</w:t>
            </w:r>
          </w:p>
          <w:p w14:paraId="404EE8FD" w14:textId="77777777" w:rsidR="006B0FF8" w:rsidRDefault="006B0FF8" w:rsidP="006B0FF8">
            <w:pPr>
              <w:pStyle w:val="ListParagraph"/>
              <w:numPr>
                <w:ilvl w:val="0"/>
                <w:numId w:val="15"/>
              </w:numPr>
              <w:jc w:val="both"/>
              <w:rPr>
                <w:szCs w:val="22"/>
              </w:rPr>
            </w:pPr>
            <w:r>
              <w:rPr>
                <w:szCs w:val="22"/>
              </w:rPr>
              <w:t>discharge and transfer plans</w:t>
            </w:r>
          </w:p>
          <w:p w14:paraId="34F0F282" w14:textId="77777777" w:rsidR="006B0FF8" w:rsidRDefault="006B0FF8" w:rsidP="006B0FF8">
            <w:pPr>
              <w:ind w:left="48"/>
              <w:jc w:val="both"/>
              <w:rPr>
                <w:szCs w:val="22"/>
              </w:rPr>
            </w:pPr>
            <w:r>
              <w:rPr>
                <w:szCs w:val="22"/>
              </w:rPr>
              <w:t xml:space="preserve">       Any information that relates to individuals service delivery.</w:t>
            </w:r>
          </w:p>
          <w:p w14:paraId="50A5BA85" w14:textId="60CF8148" w:rsidR="007C2CD1" w:rsidRDefault="006B0FF8" w:rsidP="007C2CD1">
            <w:pPr>
              <w:pStyle w:val="ListParagraph"/>
              <w:numPr>
                <w:ilvl w:val="0"/>
                <w:numId w:val="14"/>
              </w:numPr>
              <w:jc w:val="both"/>
              <w:rPr>
                <w:szCs w:val="22"/>
              </w:rPr>
            </w:pPr>
            <w:r>
              <w:rPr>
                <w:szCs w:val="22"/>
              </w:rPr>
              <w:t>This applies to our human resource records/information as well. We canno</w:t>
            </w:r>
            <w:r w:rsidR="005A093A">
              <w:rPr>
                <w:szCs w:val="22"/>
              </w:rPr>
              <w:t>t</w:t>
            </w:r>
            <w:r>
              <w:rPr>
                <w:szCs w:val="22"/>
              </w:rPr>
              <w:t xml:space="preserve"> use </w:t>
            </w:r>
            <w:r w:rsidR="007C2CD1">
              <w:rPr>
                <w:szCs w:val="22"/>
              </w:rPr>
              <w:t>A</w:t>
            </w:r>
            <w:r>
              <w:rPr>
                <w:szCs w:val="22"/>
              </w:rPr>
              <w:t xml:space="preserve">I to automate processes relating to </w:t>
            </w:r>
            <w:r w:rsidR="007C2CD1">
              <w:rPr>
                <w:szCs w:val="22"/>
              </w:rPr>
              <w:t>individuals’ recruitment and all employment/contract related processes.</w:t>
            </w:r>
          </w:p>
          <w:p w14:paraId="48D87560" w14:textId="77777777" w:rsidR="007C2CD1" w:rsidRDefault="007C2CD1" w:rsidP="007C2CD1">
            <w:pPr>
              <w:pStyle w:val="ListParagraph"/>
              <w:numPr>
                <w:ilvl w:val="0"/>
                <w:numId w:val="14"/>
              </w:numPr>
              <w:jc w:val="both"/>
              <w:rPr>
                <w:szCs w:val="22"/>
              </w:rPr>
            </w:pPr>
            <w:r>
              <w:rPr>
                <w:szCs w:val="22"/>
              </w:rPr>
              <w:t>Only the minimum amount of information needed to achieve the required outcomes are allowed to be input into an AI tool.</w:t>
            </w:r>
          </w:p>
          <w:p w14:paraId="04C79F74" w14:textId="0E0621E2" w:rsidR="007C2CD1" w:rsidRDefault="007C2CD1" w:rsidP="007C2CD1">
            <w:pPr>
              <w:pStyle w:val="ListParagraph"/>
              <w:numPr>
                <w:ilvl w:val="0"/>
                <w:numId w:val="14"/>
              </w:numPr>
              <w:jc w:val="both"/>
              <w:rPr>
                <w:szCs w:val="22"/>
              </w:rPr>
            </w:pPr>
            <w:r>
              <w:rPr>
                <w:szCs w:val="22"/>
              </w:rPr>
              <w:t>No personal information or information that can lead to personal identification (for example</w:t>
            </w:r>
            <w:r w:rsidR="00635DCC">
              <w:rPr>
                <w:szCs w:val="22"/>
              </w:rPr>
              <w:t>:</w:t>
            </w:r>
            <w:r>
              <w:rPr>
                <w:szCs w:val="22"/>
              </w:rPr>
              <w:t xml:space="preserve"> names, addresses, dates of birth, phone numbers, any kind of identification numbers and/or letters, </w:t>
            </w:r>
            <w:r w:rsidR="00635DCC">
              <w:rPr>
                <w:szCs w:val="22"/>
              </w:rPr>
              <w:t xml:space="preserve">car number </w:t>
            </w:r>
            <w:r w:rsidR="00EE3FFB">
              <w:rPr>
                <w:szCs w:val="22"/>
              </w:rPr>
              <w:t>plates, driving</w:t>
            </w:r>
            <w:r w:rsidR="00635DCC">
              <w:rPr>
                <w:szCs w:val="22"/>
              </w:rPr>
              <w:t xml:space="preserve"> license numbers, IRD numbers, NHI, bank account numbers).</w:t>
            </w:r>
          </w:p>
          <w:p w14:paraId="5D44A8B5" w14:textId="77777777" w:rsidR="004B0F8C" w:rsidRDefault="004B0F8C" w:rsidP="007C2CD1">
            <w:pPr>
              <w:pStyle w:val="ListParagraph"/>
              <w:numPr>
                <w:ilvl w:val="0"/>
                <w:numId w:val="14"/>
              </w:numPr>
              <w:jc w:val="both"/>
              <w:rPr>
                <w:szCs w:val="22"/>
              </w:rPr>
            </w:pPr>
            <w:r>
              <w:rPr>
                <w:szCs w:val="22"/>
              </w:rPr>
              <w:t xml:space="preserve">We do not allow AI to be used to automate processes relating to our organisation that cannot be publicly accessed.  </w:t>
            </w:r>
          </w:p>
          <w:p w14:paraId="2E09032B" w14:textId="77777777" w:rsidR="00EE3FFB" w:rsidRDefault="00EE3FFB" w:rsidP="00EE3FFB">
            <w:pPr>
              <w:pStyle w:val="ListParagraph"/>
              <w:numPr>
                <w:ilvl w:val="0"/>
                <w:numId w:val="14"/>
              </w:numPr>
            </w:pPr>
            <w:r>
              <w:t>No information identified as confidential is to be entered into an AI tool.</w:t>
            </w:r>
          </w:p>
          <w:p w14:paraId="2ACB532D" w14:textId="5FF44290" w:rsidR="00EE3FFB" w:rsidRDefault="00EE3FFB" w:rsidP="00EE3FFB">
            <w:pPr>
              <w:pStyle w:val="ListParagraph"/>
              <w:numPr>
                <w:ilvl w:val="0"/>
                <w:numId w:val="14"/>
              </w:numPr>
            </w:pPr>
            <w:r>
              <w:t>No content covered by our organization’s copyright is to be copied into an AI tool.</w:t>
            </w:r>
          </w:p>
          <w:p w14:paraId="5542B4EC" w14:textId="77777777" w:rsidR="00EE3FFB" w:rsidRDefault="00EE3FFB" w:rsidP="00EE3FFB">
            <w:pPr>
              <w:pStyle w:val="ListParagraph"/>
              <w:numPr>
                <w:ilvl w:val="0"/>
                <w:numId w:val="14"/>
              </w:numPr>
            </w:pPr>
            <w:r>
              <w:t>AI generated outputs must not be represented as an individual’s own original work.</w:t>
            </w:r>
          </w:p>
          <w:p w14:paraId="7B2397D3" w14:textId="77777777" w:rsidR="00EE3FFB" w:rsidRDefault="00EE3FFB" w:rsidP="00EE3FFB">
            <w:pPr>
              <w:pStyle w:val="ListParagraph"/>
              <w:numPr>
                <w:ilvl w:val="0"/>
                <w:numId w:val="14"/>
              </w:numPr>
            </w:pPr>
            <w:r>
              <w:t>Where the content of a report or presentation is substantially AI generated, the following disclaimer must be included:</w:t>
            </w:r>
          </w:p>
          <w:p w14:paraId="1F846E8B" w14:textId="77777777" w:rsidR="00EE3FFB" w:rsidRDefault="00EE3FFB" w:rsidP="00EE3FFB">
            <w:pPr>
              <w:ind w:left="720"/>
              <w:rPr>
                <w:i/>
                <w:iCs/>
              </w:rPr>
            </w:pPr>
            <w:r w:rsidRPr="005F1E06">
              <w:rPr>
                <w:i/>
                <w:iCs/>
              </w:rPr>
              <w:t>‘AI was used to assist in the preparation of this report/presentation. All content has been subject to human review and reflects the expertise and judgement of the writer.’</w:t>
            </w:r>
          </w:p>
          <w:p w14:paraId="1AEDF972" w14:textId="36918BC2" w:rsidR="00EE3FFB" w:rsidRPr="006B0FF8" w:rsidRDefault="00EE3FFB" w:rsidP="00EE3FFB">
            <w:pPr>
              <w:pStyle w:val="ListParagraph"/>
              <w:numPr>
                <w:ilvl w:val="0"/>
                <w:numId w:val="14"/>
              </w:numPr>
              <w:jc w:val="both"/>
              <w:rPr>
                <w:szCs w:val="22"/>
              </w:rPr>
            </w:pPr>
            <w:r>
              <w:t>Acknowledgement of copyright and any references.</w:t>
            </w:r>
          </w:p>
        </w:tc>
      </w:tr>
    </w:tbl>
    <w:tbl>
      <w:tblPr>
        <w:tblStyle w:val="TableGrid"/>
        <w:tblW w:w="9924" w:type="dxa"/>
        <w:tblInd w:w="-431" w:type="dxa"/>
        <w:tblLook w:val="04A0" w:firstRow="1" w:lastRow="0" w:firstColumn="1" w:lastColumn="0" w:noHBand="0" w:noVBand="1"/>
      </w:tblPr>
      <w:tblGrid>
        <w:gridCol w:w="9924"/>
      </w:tblGrid>
      <w:tr w:rsidR="00C864D0" w14:paraId="73BD97E8" w14:textId="77777777" w:rsidTr="00EE3FFB">
        <w:tc>
          <w:tcPr>
            <w:tcW w:w="9924" w:type="dxa"/>
            <w:shd w:val="clear" w:color="auto" w:fill="F2F2F2" w:themeFill="background1" w:themeFillShade="F2"/>
          </w:tcPr>
          <w:p w14:paraId="237251EC" w14:textId="07EC2A71" w:rsidR="00C864D0" w:rsidRPr="009F6D75" w:rsidRDefault="009F6D75">
            <w:pPr>
              <w:rPr>
                <w:b/>
                <w:bCs/>
              </w:rPr>
            </w:pPr>
            <w:r w:rsidRPr="009F6D75">
              <w:rPr>
                <w:b/>
                <w:bCs/>
              </w:rPr>
              <w:lastRenderedPageBreak/>
              <w:t>Failure to comply</w:t>
            </w:r>
          </w:p>
        </w:tc>
      </w:tr>
      <w:tr w:rsidR="009F6D75" w14:paraId="746ECCCB" w14:textId="77777777" w:rsidTr="00EE3FFB">
        <w:tc>
          <w:tcPr>
            <w:tcW w:w="9924" w:type="dxa"/>
          </w:tcPr>
          <w:p w14:paraId="3348D832" w14:textId="77777777" w:rsidR="009F6D75" w:rsidRDefault="009F6D75">
            <w:r>
              <w:t>Failure to comply with this policy may be considered:</w:t>
            </w:r>
          </w:p>
          <w:p w14:paraId="6F119822" w14:textId="0EF6D3E0" w:rsidR="009F6D75" w:rsidRDefault="009F6D75" w:rsidP="009F6D75">
            <w:pPr>
              <w:pStyle w:val="ListParagraph"/>
              <w:numPr>
                <w:ilvl w:val="0"/>
                <w:numId w:val="17"/>
              </w:numPr>
            </w:pPr>
            <w:r>
              <w:t xml:space="preserve">A breach of the employment contract, the </w:t>
            </w:r>
            <w:r w:rsidR="00BD51E2">
              <w:t xml:space="preserve">Staff </w:t>
            </w:r>
            <w:r>
              <w:t>Code of Conduct, breach of contract, breach of Board members Code of Conduct, breach of professional standard, and/or breach of privacy or other legislation.</w:t>
            </w:r>
          </w:p>
          <w:p w14:paraId="44B52590" w14:textId="3A81CC1B" w:rsidR="009F6D75" w:rsidRDefault="0083083B" w:rsidP="009F6D75">
            <w:pPr>
              <w:pStyle w:val="ListParagraph"/>
              <w:numPr>
                <w:ilvl w:val="0"/>
                <w:numId w:val="17"/>
              </w:numPr>
            </w:pPr>
            <w:r>
              <w:t>In such situations the relevant leadership group will develop and agree on a response.</w:t>
            </w:r>
          </w:p>
        </w:tc>
      </w:tr>
    </w:tbl>
    <w:p w14:paraId="7CE89A52" w14:textId="77777777" w:rsidR="005222EE" w:rsidRDefault="005222EE" w:rsidP="005222EE">
      <w:pPr>
        <w:spacing w:line="268" w:lineRule="auto"/>
      </w:pPr>
    </w:p>
    <w:p w14:paraId="3F9B92B5" w14:textId="77777777" w:rsidR="00A410A3" w:rsidRDefault="00A410A3"/>
    <w:sectPr w:rsidR="00A410A3">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89FB" w14:textId="77777777" w:rsidR="00981551" w:rsidRDefault="00981551" w:rsidP="00F0491A">
      <w:r>
        <w:separator/>
      </w:r>
    </w:p>
  </w:endnote>
  <w:endnote w:type="continuationSeparator" w:id="0">
    <w:p w14:paraId="15C98D1C" w14:textId="77777777" w:rsidR="00981551" w:rsidRDefault="00981551" w:rsidP="00F0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23"/>
      <w:gridCol w:w="1170"/>
      <w:gridCol w:w="1275"/>
      <w:gridCol w:w="1276"/>
      <w:gridCol w:w="862"/>
      <w:gridCol w:w="1125"/>
      <w:gridCol w:w="1560"/>
      <w:gridCol w:w="1804"/>
    </w:tblGrid>
    <w:tr w:rsidR="00E76D7D" w14:paraId="4E6EDC93" w14:textId="77777777" w:rsidTr="00750475">
      <w:trPr>
        <w:trHeight w:val="306"/>
      </w:trPr>
      <w:tc>
        <w:tcPr>
          <w:tcW w:w="955" w:type="dxa"/>
          <w:tcBorders>
            <w:top w:val="single" w:sz="4" w:space="0" w:color="auto"/>
            <w:left w:val="single" w:sz="4" w:space="0" w:color="auto"/>
            <w:bottom w:val="single" w:sz="4" w:space="0" w:color="auto"/>
            <w:right w:val="single" w:sz="4" w:space="0" w:color="auto"/>
          </w:tcBorders>
          <w:hideMark/>
        </w:tcPr>
        <w:p w14:paraId="02E9CFD6" w14:textId="77777777" w:rsidR="00E76D7D" w:rsidRDefault="00E76D7D" w:rsidP="00E76D7D">
          <w:pPr>
            <w:pStyle w:val="Footer"/>
            <w:rPr>
              <w:rFonts w:cs="Calibri"/>
            </w:rPr>
          </w:pPr>
          <w:r>
            <w:rPr>
              <w:rFonts w:cs="Calibri"/>
            </w:rPr>
            <w:t>Version:</w:t>
          </w:r>
        </w:p>
      </w:tc>
      <w:tc>
        <w:tcPr>
          <w:tcW w:w="453" w:type="dxa"/>
          <w:tcBorders>
            <w:top w:val="single" w:sz="4" w:space="0" w:color="auto"/>
            <w:left w:val="single" w:sz="4" w:space="0" w:color="auto"/>
            <w:bottom w:val="single" w:sz="4" w:space="0" w:color="auto"/>
            <w:right w:val="single" w:sz="4" w:space="0" w:color="auto"/>
          </w:tcBorders>
          <w:hideMark/>
        </w:tcPr>
        <w:p w14:paraId="5ED708DA" w14:textId="21BAA705" w:rsidR="00E76D7D" w:rsidRDefault="00E76D7D" w:rsidP="00E76D7D">
          <w:pPr>
            <w:pStyle w:val="Footer"/>
            <w:rPr>
              <w:rFonts w:cs="Calibri"/>
            </w:rPr>
          </w:pPr>
          <w:r>
            <w:rPr>
              <w:rFonts w:cs="Calibri"/>
            </w:rPr>
            <w:t>V1</w:t>
          </w:r>
        </w:p>
      </w:tc>
      <w:tc>
        <w:tcPr>
          <w:tcW w:w="823" w:type="dxa"/>
          <w:tcBorders>
            <w:top w:val="single" w:sz="4" w:space="0" w:color="auto"/>
            <w:left w:val="single" w:sz="4" w:space="0" w:color="auto"/>
            <w:bottom w:val="single" w:sz="4" w:space="0" w:color="auto"/>
            <w:right w:val="single" w:sz="4" w:space="0" w:color="auto"/>
          </w:tcBorders>
          <w:hideMark/>
        </w:tcPr>
        <w:p w14:paraId="7A7B714E" w14:textId="77777777" w:rsidR="00E76D7D" w:rsidRDefault="00E76D7D" w:rsidP="00E76D7D">
          <w:pPr>
            <w:pStyle w:val="Footer"/>
            <w:rPr>
              <w:rFonts w:cs="Calibri"/>
            </w:rPr>
          </w:pPr>
          <w:r>
            <w:rPr>
              <w:rFonts w:cs="Calibri"/>
            </w:rPr>
            <w:t xml:space="preserve">Issued </w:t>
          </w:r>
        </w:p>
      </w:tc>
      <w:tc>
        <w:tcPr>
          <w:tcW w:w="1170" w:type="dxa"/>
          <w:tcBorders>
            <w:top w:val="single" w:sz="4" w:space="0" w:color="auto"/>
            <w:left w:val="single" w:sz="4" w:space="0" w:color="auto"/>
            <w:bottom w:val="single" w:sz="4" w:space="0" w:color="auto"/>
            <w:right w:val="single" w:sz="4" w:space="0" w:color="auto"/>
          </w:tcBorders>
          <w:hideMark/>
        </w:tcPr>
        <w:p w14:paraId="6CB6B392" w14:textId="77777777" w:rsidR="00E76D7D" w:rsidRDefault="00E76D7D" w:rsidP="00E76D7D">
          <w:pPr>
            <w:pStyle w:val="Footer"/>
            <w:rPr>
              <w:rFonts w:cs="Calibri"/>
            </w:rPr>
          </w:pPr>
          <w:r>
            <w:rPr>
              <w:rFonts w:cs="Calibri"/>
            </w:rPr>
            <w:t>J</w:t>
          </w:r>
          <w:r>
            <w:t>une 2025</w:t>
          </w:r>
        </w:p>
      </w:tc>
      <w:tc>
        <w:tcPr>
          <w:tcW w:w="1275" w:type="dxa"/>
          <w:tcBorders>
            <w:top w:val="single" w:sz="4" w:space="0" w:color="auto"/>
            <w:left w:val="single" w:sz="4" w:space="0" w:color="auto"/>
            <w:bottom w:val="single" w:sz="4" w:space="0" w:color="auto"/>
            <w:right w:val="single" w:sz="4" w:space="0" w:color="auto"/>
          </w:tcBorders>
          <w:hideMark/>
        </w:tcPr>
        <w:p w14:paraId="3813DA28" w14:textId="77777777" w:rsidR="00E76D7D" w:rsidRDefault="00E76D7D" w:rsidP="00E76D7D">
          <w:pPr>
            <w:pStyle w:val="Footer"/>
            <w:rPr>
              <w:rFonts w:cs="Calibri"/>
            </w:rPr>
          </w:pPr>
          <w:r>
            <w:rPr>
              <w:rFonts w:cs="Calibri"/>
            </w:rPr>
            <w:t>Created by:</w:t>
          </w:r>
        </w:p>
      </w:tc>
      <w:tc>
        <w:tcPr>
          <w:tcW w:w="1276" w:type="dxa"/>
          <w:tcBorders>
            <w:top w:val="single" w:sz="4" w:space="0" w:color="auto"/>
            <w:left w:val="single" w:sz="4" w:space="0" w:color="auto"/>
            <w:bottom w:val="single" w:sz="4" w:space="0" w:color="auto"/>
            <w:right w:val="single" w:sz="4" w:space="0" w:color="auto"/>
          </w:tcBorders>
          <w:hideMark/>
        </w:tcPr>
        <w:p w14:paraId="6CA4FC95" w14:textId="77777777" w:rsidR="00E76D7D" w:rsidRDefault="00E76D7D" w:rsidP="00E76D7D">
          <w:pPr>
            <w:pStyle w:val="Footer"/>
            <w:rPr>
              <w:rFonts w:cs="Calibri"/>
            </w:rPr>
          </w:pPr>
          <w:proofErr w:type="spellStart"/>
          <w:r>
            <w:rPr>
              <w:rFonts w:cs="Calibri"/>
            </w:rPr>
            <w:t>GSHarnisch</w:t>
          </w:r>
          <w:proofErr w:type="spellEnd"/>
        </w:p>
      </w:tc>
      <w:tc>
        <w:tcPr>
          <w:tcW w:w="862" w:type="dxa"/>
        </w:tcPr>
        <w:p w14:paraId="107AC7FC" w14:textId="77777777" w:rsidR="00E76D7D" w:rsidRDefault="00E76D7D" w:rsidP="00E76D7D">
          <w:pPr>
            <w:pStyle w:val="Footer"/>
            <w:rPr>
              <w:rFonts w:cs="Calibri"/>
            </w:rPr>
          </w:pPr>
          <w:r>
            <w:rPr>
              <w:rFonts w:cs="Calibri"/>
            </w:rPr>
            <w:t xml:space="preserve">Review </w:t>
          </w:r>
        </w:p>
      </w:tc>
      <w:tc>
        <w:tcPr>
          <w:tcW w:w="1125" w:type="dxa"/>
        </w:tcPr>
        <w:p w14:paraId="5156B8BB" w14:textId="6CC9EE21" w:rsidR="00E76D7D" w:rsidRDefault="00E76D7D" w:rsidP="00E76D7D">
          <w:pPr>
            <w:pStyle w:val="Footer"/>
            <w:rPr>
              <w:rFonts w:cs="Calibri"/>
            </w:rPr>
          </w:pPr>
          <w:r>
            <w:rPr>
              <w:rFonts w:cs="Calibri"/>
            </w:rPr>
            <w:t>J</w:t>
          </w:r>
          <w:r>
            <w:t>une</w:t>
          </w:r>
          <w:r>
            <w:rPr>
              <w:rFonts w:cs="Calibri"/>
            </w:rPr>
            <w:t xml:space="preserve"> 202</w:t>
          </w:r>
          <w:r w:rsidR="00262DAC">
            <w:rPr>
              <w:rFonts w:cs="Calibri"/>
            </w:rPr>
            <w:t>6</w:t>
          </w:r>
        </w:p>
      </w:tc>
      <w:tc>
        <w:tcPr>
          <w:tcW w:w="1560" w:type="dxa"/>
        </w:tcPr>
        <w:p w14:paraId="06F9C1E4" w14:textId="77777777" w:rsidR="00E76D7D" w:rsidRDefault="00E76D7D" w:rsidP="00E76D7D">
          <w:pPr>
            <w:pStyle w:val="Footer"/>
            <w:rPr>
              <w:rFonts w:cs="Calibri"/>
            </w:rPr>
          </w:pPr>
          <w:proofErr w:type="spellStart"/>
          <w:r>
            <w:rPr>
              <w:rFonts w:cs="Calibri"/>
            </w:rPr>
            <w:t>Authorised</w:t>
          </w:r>
          <w:proofErr w:type="spellEnd"/>
          <w:r>
            <w:rPr>
              <w:rFonts w:cs="Calibri"/>
            </w:rPr>
            <w:t xml:space="preserve"> by:</w:t>
          </w:r>
        </w:p>
      </w:tc>
      <w:tc>
        <w:tcPr>
          <w:tcW w:w="1804" w:type="dxa"/>
        </w:tcPr>
        <w:p w14:paraId="36900725" w14:textId="77777777" w:rsidR="00E76D7D" w:rsidRDefault="00E76D7D" w:rsidP="00E76D7D">
          <w:pPr>
            <w:pStyle w:val="Footer"/>
            <w:rPr>
              <w:rFonts w:cs="Calibri"/>
            </w:rPr>
          </w:pPr>
          <w:r>
            <w:rPr>
              <w:rFonts w:cs="Calibri"/>
            </w:rPr>
            <w:t>P</w:t>
          </w:r>
          <w:r>
            <w:t>latform Policy Group</w:t>
          </w:r>
        </w:p>
      </w:tc>
    </w:tr>
  </w:tbl>
  <w:p w14:paraId="155DFFDE" w14:textId="77777777" w:rsidR="00E76D7D" w:rsidRDefault="00E7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4287" w14:textId="77777777" w:rsidR="00981551" w:rsidRDefault="00981551" w:rsidP="00F0491A">
      <w:r>
        <w:separator/>
      </w:r>
    </w:p>
  </w:footnote>
  <w:footnote w:type="continuationSeparator" w:id="0">
    <w:p w14:paraId="2607E605" w14:textId="77777777" w:rsidR="00981551" w:rsidRDefault="00981551" w:rsidP="00F0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BF6E" w14:textId="546EE9A5" w:rsidR="00F0491A" w:rsidRDefault="00F0491A">
    <w:pPr>
      <w:pStyle w:val="Header"/>
      <w:rPr>
        <w:lang w:val="en-NZ"/>
      </w:rPr>
    </w:pPr>
    <w:r w:rsidRPr="00833C00">
      <w:rPr>
        <w:rFonts w:asciiTheme="minorHAnsi" w:hAnsiTheme="minorHAnsi" w:cstheme="minorHAnsi"/>
        <w:noProof/>
        <w:lang w:val="en-NZ" w:eastAsia="en-NZ"/>
      </w:rPr>
      <mc:AlternateContent>
        <mc:Choice Requires="wps">
          <w:drawing>
            <wp:anchor distT="0" distB="0" distL="114300" distR="114300" simplePos="0" relativeHeight="251659264" behindDoc="0" locked="0" layoutInCell="1" allowOverlap="1" wp14:anchorId="5079373C" wp14:editId="1CABBFD0">
              <wp:simplePos x="0" y="0"/>
              <wp:positionH relativeFrom="column">
                <wp:posOffset>-533400</wp:posOffset>
              </wp:positionH>
              <wp:positionV relativeFrom="paragraph">
                <wp:posOffset>-108585</wp:posOffset>
              </wp:positionV>
              <wp:extent cx="1085850" cy="304800"/>
              <wp:effectExtent l="0" t="0"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14:paraId="7AA606E5" w14:textId="77777777" w:rsidR="00F0491A" w:rsidRPr="000225E4" w:rsidRDefault="00F0491A" w:rsidP="00F0491A">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9373C" id="_x0000_t202" coordsize="21600,21600" o:spt="202" path="m,l,21600r21600,l21600,xe">
              <v:stroke joinstyle="miter"/>
              <v:path gradientshapeok="t" o:connecttype="rect"/>
            </v:shapetype>
            <v:shape id="Text Box 329" o:spid="_x0000_s1026" type="#_x0000_t202" style="position:absolute;margin-left:-42pt;margin-top:-8.55pt;width:8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" stroked="f">
              <v:textbox>
                <w:txbxContent>
                  <w:p w14:paraId="7AA606E5" w14:textId="77777777" w:rsidR="00F0491A" w:rsidRPr="000225E4" w:rsidRDefault="00F0491A" w:rsidP="00F0491A">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p>
  <w:p w14:paraId="0923BC2F" w14:textId="3F66F6A9" w:rsidR="00F0491A" w:rsidRPr="00F0491A" w:rsidRDefault="00F0491A" w:rsidP="00F0491A">
    <w:pPr>
      <w:pStyle w:val="Header"/>
      <w:tabs>
        <w:tab w:val="clear" w:pos="4513"/>
        <w:tab w:val="clear" w:pos="9026"/>
        <w:tab w:val="left" w:pos="3456"/>
      </w:tabs>
      <w:jc w:val="center"/>
      <w:rPr>
        <w:rFonts w:asciiTheme="minorHAnsi" w:hAnsiTheme="minorHAnsi" w:cstheme="minorHAnsi"/>
        <w:b/>
        <w:bCs/>
        <w:sz w:val="28"/>
        <w:szCs w:val="28"/>
        <w:lang w:val="en-NZ"/>
      </w:rPr>
    </w:pPr>
    <w:r w:rsidRPr="00F0491A">
      <w:rPr>
        <w:rFonts w:asciiTheme="minorHAnsi" w:hAnsiTheme="minorHAnsi" w:cstheme="minorHAnsi"/>
        <w:b/>
        <w:bCs/>
        <w:sz w:val="28"/>
        <w:szCs w:val="28"/>
        <w:lang w:val="en-NZ"/>
      </w:rPr>
      <w:t xml:space="preserve">Artificial Intelligence </w:t>
    </w:r>
    <w:r w:rsidR="003659E7">
      <w:rPr>
        <w:rFonts w:asciiTheme="minorHAnsi" w:hAnsiTheme="minorHAnsi" w:cstheme="minorHAnsi"/>
        <w:b/>
        <w:bCs/>
        <w:sz w:val="28"/>
        <w:szCs w:val="28"/>
        <w:lang w:val="en-NZ"/>
      </w:rPr>
      <w:t xml:space="preserve">(AI) </w:t>
    </w:r>
    <w:r w:rsidRPr="00F0491A">
      <w:rPr>
        <w:rFonts w:asciiTheme="minorHAnsi" w:hAnsiTheme="minorHAnsi" w:cstheme="minorHAnsi"/>
        <w:b/>
        <w:bCs/>
        <w:sz w:val="28"/>
        <w:szCs w:val="28"/>
        <w:lang w:val="en-NZ"/>
      </w:rPr>
      <w:t>Management</w:t>
    </w:r>
  </w:p>
  <w:p w14:paraId="2FF57092" w14:textId="5A0A33B7" w:rsidR="00F0491A" w:rsidRPr="00F0491A" w:rsidRDefault="00F0491A">
    <w:pPr>
      <w:pStyle w:val="Header"/>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312"/>
    <w:multiLevelType w:val="hybridMultilevel"/>
    <w:tmpl w:val="09E642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70B71F3"/>
    <w:multiLevelType w:val="multilevel"/>
    <w:tmpl w:val="8E748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4952A7"/>
    <w:multiLevelType w:val="hybridMultilevel"/>
    <w:tmpl w:val="4C90B31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F414138"/>
    <w:multiLevelType w:val="hybridMultilevel"/>
    <w:tmpl w:val="A5FC58EC"/>
    <w:lvl w:ilvl="0" w:tplc="B3C638DA">
      <w:start w:val="1"/>
      <w:numFmt w:val="decimal"/>
      <w:lvlText w:val="%1."/>
      <w:lvlJc w:val="left"/>
      <w:pPr>
        <w:ind w:left="686" w:hanging="567"/>
      </w:pPr>
      <w:rPr>
        <w:rFonts w:ascii="Arial" w:eastAsia="Arial" w:hAnsi="Arial" w:cs="Arial" w:hint="default"/>
        <w:color w:val="F05D21"/>
        <w:w w:val="72"/>
        <w:sz w:val="22"/>
        <w:szCs w:val="22"/>
      </w:rPr>
    </w:lvl>
    <w:lvl w:ilvl="1" w:tplc="7EA87A54">
      <w:start w:val="1"/>
      <w:numFmt w:val="lowerLetter"/>
      <w:lvlText w:val="%2."/>
      <w:lvlJc w:val="left"/>
      <w:pPr>
        <w:ind w:left="1114" w:hanging="428"/>
      </w:pPr>
      <w:rPr>
        <w:rFonts w:ascii="Arial" w:eastAsia="Arial" w:hAnsi="Arial" w:cs="Arial" w:hint="default"/>
        <w:spacing w:val="-1"/>
        <w:w w:val="99"/>
        <w:sz w:val="22"/>
        <w:szCs w:val="22"/>
      </w:rPr>
    </w:lvl>
    <w:lvl w:ilvl="2" w:tplc="46E2B6F4">
      <w:numFmt w:val="bullet"/>
      <w:lvlText w:val="•"/>
      <w:lvlJc w:val="left"/>
      <w:pPr>
        <w:ind w:left="2060" w:hanging="428"/>
      </w:pPr>
      <w:rPr>
        <w:rFonts w:hint="default"/>
      </w:rPr>
    </w:lvl>
    <w:lvl w:ilvl="3" w:tplc="5972F260">
      <w:numFmt w:val="bullet"/>
      <w:lvlText w:val="•"/>
      <w:lvlJc w:val="left"/>
      <w:pPr>
        <w:ind w:left="3001" w:hanging="428"/>
      </w:pPr>
      <w:rPr>
        <w:rFonts w:hint="default"/>
      </w:rPr>
    </w:lvl>
    <w:lvl w:ilvl="4" w:tplc="F460C996">
      <w:numFmt w:val="bullet"/>
      <w:lvlText w:val="•"/>
      <w:lvlJc w:val="left"/>
      <w:pPr>
        <w:ind w:left="3942" w:hanging="428"/>
      </w:pPr>
      <w:rPr>
        <w:rFonts w:hint="default"/>
      </w:rPr>
    </w:lvl>
    <w:lvl w:ilvl="5" w:tplc="0284FE8C">
      <w:numFmt w:val="bullet"/>
      <w:lvlText w:val="•"/>
      <w:lvlJc w:val="left"/>
      <w:pPr>
        <w:ind w:left="4882" w:hanging="428"/>
      </w:pPr>
      <w:rPr>
        <w:rFonts w:hint="default"/>
      </w:rPr>
    </w:lvl>
    <w:lvl w:ilvl="6" w:tplc="06F8A878">
      <w:numFmt w:val="bullet"/>
      <w:lvlText w:val="•"/>
      <w:lvlJc w:val="left"/>
      <w:pPr>
        <w:ind w:left="5823" w:hanging="428"/>
      </w:pPr>
      <w:rPr>
        <w:rFonts w:hint="default"/>
      </w:rPr>
    </w:lvl>
    <w:lvl w:ilvl="7" w:tplc="B0402A90">
      <w:numFmt w:val="bullet"/>
      <w:lvlText w:val="•"/>
      <w:lvlJc w:val="left"/>
      <w:pPr>
        <w:ind w:left="6764" w:hanging="428"/>
      </w:pPr>
      <w:rPr>
        <w:rFonts w:hint="default"/>
      </w:rPr>
    </w:lvl>
    <w:lvl w:ilvl="8" w:tplc="49F461FC">
      <w:numFmt w:val="bullet"/>
      <w:lvlText w:val="•"/>
      <w:lvlJc w:val="left"/>
      <w:pPr>
        <w:ind w:left="7704" w:hanging="428"/>
      </w:pPr>
      <w:rPr>
        <w:rFonts w:hint="default"/>
      </w:rPr>
    </w:lvl>
  </w:abstractNum>
  <w:abstractNum w:abstractNumId="4" w15:restartNumberingAfterBreak="0">
    <w:nsid w:val="26250A77"/>
    <w:multiLevelType w:val="hybridMultilevel"/>
    <w:tmpl w:val="619C1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917B1B"/>
    <w:multiLevelType w:val="hybridMultilevel"/>
    <w:tmpl w:val="DE7E45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BD632B3"/>
    <w:multiLevelType w:val="hybridMultilevel"/>
    <w:tmpl w:val="6D327AC2"/>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7" w15:restartNumberingAfterBreak="0">
    <w:nsid w:val="474328BB"/>
    <w:multiLevelType w:val="hybridMultilevel"/>
    <w:tmpl w:val="A0F0A7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8D52DA9"/>
    <w:multiLevelType w:val="hybridMultilevel"/>
    <w:tmpl w:val="AC68B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DFD78BA"/>
    <w:multiLevelType w:val="hybridMultilevel"/>
    <w:tmpl w:val="952AD4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4A84572"/>
    <w:multiLevelType w:val="hybridMultilevel"/>
    <w:tmpl w:val="DE1C6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97B52DC"/>
    <w:multiLevelType w:val="multilevel"/>
    <w:tmpl w:val="3516F9CA"/>
    <w:lvl w:ilvl="0">
      <w:start w:val="6"/>
      <w:numFmt w:val="decimal"/>
      <w:lvlText w:val="%1"/>
      <w:lvlJc w:val="left"/>
      <w:pPr>
        <w:ind w:left="686" w:hanging="567"/>
      </w:pPr>
      <w:rPr>
        <w:rFonts w:hint="default"/>
      </w:rPr>
    </w:lvl>
    <w:lvl w:ilvl="1">
      <w:start w:val="1"/>
      <w:numFmt w:val="decimal"/>
      <w:lvlText w:val="%1.%2"/>
      <w:lvlJc w:val="left"/>
      <w:pPr>
        <w:ind w:left="1277" w:hanging="567"/>
      </w:pPr>
      <w:rPr>
        <w:rFonts w:ascii="Arial" w:eastAsia="Arial" w:hAnsi="Arial" w:cs="Arial" w:hint="default"/>
        <w:spacing w:val="0"/>
        <w:w w:val="90"/>
        <w:sz w:val="22"/>
        <w:szCs w:val="22"/>
      </w:rPr>
    </w:lvl>
    <w:lvl w:ilvl="2">
      <w:start w:val="1"/>
      <w:numFmt w:val="lowerLetter"/>
      <w:lvlText w:val="%3."/>
      <w:lvlJc w:val="left"/>
      <w:pPr>
        <w:ind w:left="1114" w:hanging="428"/>
      </w:pPr>
      <w:rPr>
        <w:rFonts w:ascii="Arial" w:eastAsia="Arial" w:hAnsi="Arial" w:cs="Arial" w:hint="default"/>
        <w:spacing w:val="-1"/>
        <w:w w:val="99"/>
        <w:sz w:val="22"/>
        <w:szCs w:val="22"/>
      </w:rPr>
    </w:lvl>
    <w:lvl w:ilvl="3">
      <w:numFmt w:val="bullet"/>
      <w:lvlText w:val="•"/>
      <w:lvlJc w:val="left"/>
      <w:pPr>
        <w:ind w:left="3001" w:hanging="428"/>
      </w:pPr>
      <w:rPr>
        <w:rFonts w:hint="default"/>
      </w:rPr>
    </w:lvl>
    <w:lvl w:ilvl="4">
      <w:numFmt w:val="bullet"/>
      <w:lvlText w:val="•"/>
      <w:lvlJc w:val="left"/>
      <w:pPr>
        <w:ind w:left="3942" w:hanging="428"/>
      </w:pPr>
      <w:rPr>
        <w:rFonts w:hint="default"/>
      </w:rPr>
    </w:lvl>
    <w:lvl w:ilvl="5">
      <w:numFmt w:val="bullet"/>
      <w:lvlText w:val="•"/>
      <w:lvlJc w:val="left"/>
      <w:pPr>
        <w:ind w:left="4882" w:hanging="428"/>
      </w:pPr>
      <w:rPr>
        <w:rFonts w:hint="default"/>
      </w:rPr>
    </w:lvl>
    <w:lvl w:ilvl="6">
      <w:numFmt w:val="bullet"/>
      <w:lvlText w:val="•"/>
      <w:lvlJc w:val="left"/>
      <w:pPr>
        <w:ind w:left="5823" w:hanging="428"/>
      </w:pPr>
      <w:rPr>
        <w:rFonts w:hint="default"/>
      </w:rPr>
    </w:lvl>
    <w:lvl w:ilvl="7">
      <w:numFmt w:val="bullet"/>
      <w:lvlText w:val="•"/>
      <w:lvlJc w:val="left"/>
      <w:pPr>
        <w:ind w:left="6764" w:hanging="428"/>
      </w:pPr>
      <w:rPr>
        <w:rFonts w:hint="default"/>
      </w:rPr>
    </w:lvl>
    <w:lvl w:ilvl="8">
      <w:numFmt w:val="bullet"/>
      <w:lvlText w:val="•"/>
      <w:lvlJc w:val="left"/>
      <w:pPr>
        <w:ind w:left="7704" w:hanging="428"/>
      </w:pPr>
      <w:rPr>
        <w:rFonts w:hint="default"/>
      </w:rPr>
    </w:lvl>
  </w:abstractNum>
  <w:abstractNum w:abstractNumId="12" w15:restartNumberingAfterBreak="0">
    <w:nsid w:val="69BF0970"/>
    <w:multiLevelType w:val="hybridMultilevel"/>
    <w:tmpl w:val="817A9F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E00506D"/>
    <w:multiLevelType w:val="hybridMultilevel"/>
    <w:tmpl w:val="BEC41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739313CD"/>
    <w:multiLevelType w:val="hybridMultilevel"/>
    <w:tmpl w:val="BF6645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7E7386C"/>
    <w:multiLevelType w:val="hybridMultilevel"/>
    <w:tmpl w:val="90ACA7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85363EF"/>
    <w:multiLevelType w:val="hybridMultilevel"/>
    <w:tmpl w:val="0B423C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44839825">
    <w:abstractNumId w:val="16"/>
  </w:num>
  <w:num w:numId="2" w16cid:durableId="514198882">
    <w:abstractNumId w:val="5"/>
  </w:num>
  <w:num w:numId="3" w16cid:durableId="334649769">
    <w:abstractNumId w:val="14"/>
  </w:num>
  <w:num w:numId="4" w16cid:durableId="1707489015">
    <w:abstractNumId w:val="1"/>
  </w:num>
  <w:num w:numId="5" w16cid:durableId="1838961384">
    <w:abstractNumId w:val="8"/>
  </w:num>
  <w:num w:numId="6" w16cid:durableId="93326005">
    <w:abstractNumId w:val="12"/>
  </w:num>
  <w:num w:numId="7" w16cid:durableId="947782513">
    <w:abstractNumId w:val="11"/>
  </w:num>
  <w:num w:numId="8" w16cid:durableId="394469787">
    <w:abstractNumId w:val="15"/>
  </w:num>
  <w:num w:numId="9" w16cid:durableId="542912813">
    <w:abstractNumId w:val="7"/>
  </w:num>
  <w:num w:numId="10" w16cid:durableId="189225353">
    <w:abstractNumId w:val="4"/>
  </w:num>
  <w:num w:numId="11" w16cid:durableId="248974712">
    <w:abstractNumId w:val="9"/>
  </w:num>
  <w:num w:numId="12" w16cid:durableId="1162702852">
    <w:abstractNumId w:val="3"/>
  </w:num>
  <w:num w:numId="13" w16cid:durableId="348680816">
    <w:abstractNumId w:val="0"/>
  </w:num>
  <w:num w:numId="14" w16cid:durableId="1711492637">
    <w:abstractNumId w:val="13"/>
  </w:num>
  <w:num w:numId="15" w16cid:durableId="139199035">
    <w:abstractNumId w:val="6"/>
  </w:num>
  <w:num w:numId="16" w16cid:durableId="1319069259">
    <w:abstractNumId w:val="2"/>
  </w:num>
  <w:num w:numId="17" w16cid:durableId="896012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1A"/>
    <w:rsid w:val="00026322"/>
    <w:rsid w:val="0004006D"/>
    <w:rsid w:val="000713F0"/>
    <w:rsid w:val="000A1B76"/>
    <w:rsid w:val="00116B2E"/>
    <w:rsid w:val="00150238"/>
    <w:rsid w:val="001A40CA"/>
    <w:rsid w:val="001D0826"/>
    <w:rsid w:val="0020449E"/>
    <w:rsid w:val="00262DAC"/>
    <w:rsid w:val="002A6039"/>
    <w:rsid w:val="002F78F9"/>
    <w:rsid w:val="00305C02"/>
    <w:rsid w:val="003659E7"/>
    <w:rsid w:val="00376234"/>
    <w:rsid w:val="0039271E"/>
    <w:rsid w:val="003C1E9D"/>
    <w:rsid w:val="003F5BF6"/>
    <w:rsid w:val="003F7195"/>
    <w:rsid w:val="00443E17"/>
    <w:rsid w:val="00472CFF"/>
    <w:rsid w:val="004B0F8C"/>
    <w:rsid w:val="004B2DBE"/>
    <w:rsid w:val="005222EE"/>
    <w:rsid w:val="00526C24"/>
    <w:rsid w:val="005521E3"/>
    <w:rsid w:val="005A093A"/>
    <w:rsid w:val="005F1E06"/>
    <w:rsid w:val="00627B87"/>
    <w:rsid w:val="00635DCC"/>
    <w:rsid w:val="00646B4F"/>
    <w:rsid w:val="00654680"/>
    <w:rsid w:val="006A4E65"/>
    <w:rsid w:val="006B00D4"/>
    <w:rsid w:val="006B0FF8"/>
    <w:rsid w:val="006B2338"/>
    <w:rsid w:val="006D2E86"/>
    <w:rsid w:val="006E5731"/>
    <w:rsid w:val="00753F8C"/>
    <w:rsid w:val="00757E18"/>
    <w:rsid w:val="007B37D8"/>
    <w:rsid w:val="007C2CD1"/>
    <w:rsid w:val="007F128E"/>
    <w:rsid w:val="0083083B"/>
    <w:rsid w:val="00830AF1"/>
    <w:rsid w:val="00865D05"/>
    <w:rsid w:val="00981551"/>
    <w:rsid w:val="00986DDC"/>
    <w:rsid w:val="009A506E"/>
    <w:rsid w:val="009C3244"/>
    <w:rsid w:val="009D60C8"/>
    <w:rsid w:val="009F6D75"/>
    <w:rsid w:val="00A05AA4"/>
    <w:rsid w:val="00A40856"/>
    <w:rsid w:val="00A410A3"/>
    <w:rsid w:val="00A4112F"/>
    <w:rsid w:val="00A55EFD"/>
    <w:rsid w:val="00A805F9"/>
    <w:rsid w:val="00A852E5"/>
    <w:rsid w:val="00AA5C37"/>
    <w:rsid w:val="00AC773B"/>
    <w:rsid w:val="00B014D2"/>
    <w:rsid w:val="00B05DA2"/>
    <w:rsid w:val="00B25EBD"/>
    <w:rsid w:val="00BD51E2"/>
    <w:rsid w:val="00C350E1"/>
    <w:rsid w:val="00C511A1"/>
    <w:rsid w:val="00C52653"/>
    <w:rsid w:val="00C65882"/>
    <w:rsid w:val="00C864D0"/>
    <w:rsid w:val="00D55FA1"/>
    <w:rsid w:val="00DF00B6"/>
    <w:rsid w:val="00E449CA"/>
    <w:rsid w:val="00E76D7D"/>
    <w:rsid w:val="00ED5A62"/>
    <w:rsid w:val="00ED5F07"/>
    <w:rsid w:val="00EE3FFB"/>
    <w:rsid w:val="00F01D79"/>
    <w:rsid w:val="00F0491A"/>
    <w:rsid w:val="00F22F85"/>
    <w:rsid w:val="00F975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2DAB1"/>
  <w15:chartTrackingRefBased/>
  <w15:docId w15:val="{18E21161-3E22-45CF-8C1E-64EFFE0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1A"/>
    <w:pPr>
      <w:spacing w:after="0" w:line="240" w:lineRule="auto"/>
    </w:pPr>
    <w:rPr>
      <w:rFonts w:ascii="Calibri" w:eastAsia="Times New Roman" w:hAnsi="Calibri" w:cs="Times New Roman"/>
      <w:kern w:val="0"/>
      <w:szCs w:val="24"/>
      <w:lang w:val="en-US"/>
      <w14:ligatures w14:val="none"/>
    </w:rPr>
  </w:style>
  <w:style w:type="paragraph" w:styleId="Heading1">
    <w:name w:val="heading 1"/>
    <w:basedOn w:val="Normal"/>
    <w:next w:val="Normal"/>
    <w:link w:val="Heading1Char"/>
    <w:qFormat/>
    <w:rsid w:val="00F0491A"/>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
    <w:semiHidden/>
    <w:unhideWhenUsed/>
    <w:qFormat/>
    <w:rsid w:val="001A40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91A"/>
    <w:rPr>
      <w:rFonts w:ascii="Calibri" w:eastAsia="Times New Roman" w:hAnsi="Calibri" w:cs="Arial"/>
      <w:b/>
      <w:bCs/>
      <w:kern w:val="32"/>
      <w:sz w:val="28"/>
      <w:szCs w:val="32"/>
      <w:lang w:val="en-US"/>
      <w14:ligatures w14:val="none"/>
    </w:rPr>
  </w:style>
  <w:style w:type="character" w:styleId="Hyperlink">
    <w:name w:val="Hyperlink"/>
    <w:uiPriority w:val="99"/>
    <w:rsid w:val="00F0491A"/>
    <w:rPr>
      <w:color w:val="0000FF"/>
      <w:u w:val="single"/>
    </w:rPr>
  </w:style>
  <w:style w:type="paragraph" w:styleId="ListParagraph">
    <w:name w:val="List Paragraph"/>
    <w:basedOn w:val="Normal"/>
    <w:uiPriority w:val="1"/>
    <w:qFormat/>
    <w:rsid w:val="00F0491A"/>
    <w:pPr>
      <w:ind w:left="720"/>
      <w:contextualSpacing/>
    </w:pPr>
  </w:style>
  <w:style w:type="character" w:styleId="PlaceholderText">
    <w:name w:val="Placeholder Text"/>
    <w:basedOn w:val="DefaultParagraphFont"/>
    <w:uiPriority w:val="99"/>
    <w:semiHidden/>
    <w:rsid w:val="00F0491A"/>
    <w:rPr>
      <w:color w:val="808080"/>
    </w:rPr>
  </w:style>
  <w:style w:type="paragraph" w:styleId="Header">
    <w:name w:val="header"/>
    <w:basedOn w:val="Normal"/>
    <w:link w:val="HeaderChar"/>
    <w:uiPriority w:val="99"/>
    <w:unhideWhenUsed/>
    <w:rsid w:val="00F0491A"/>
    <w:pPr>
      <w:tabs>
        <w:tab w:val="center" w:pos="4513"/>
        <w:tab w:val="right" w:pos="9026"/>
      </w:tabs>
    </w:pPr>
  </w:style>
  <w:style w:type="character" w:customStyle="1" w:styleId="HeaderChar">
    <w:name w:val="Header Char"/>
    <w:basedOn w:val="DefaultParagraphFont"/>
    <w:link w:val="Header"/>
    <w:uiPriority w:val="99"/>
    <w:rsid w:val="00F0491A"/>
    <w:rPr>
      <w:rFonts w:ascii="Calibri" w:eastAsia="Times New Roman" w:hAnsi="Calibri" w:cs="Times New Roman"/>
      <w:kern w:val="0"/>
      <w:szCs w:val="24"/>
      <w:lang w:val="en-US"/>
      <w14:ligatures w14:val="none"/>
    </w:rPr>
  </w:style>
  <w:style w:type="paragraph" w:styleId="Footer">
    <w:name w:val="footer"/>
    <w:basedOn w:val="Normal"/>
    <w:link w:val="FooterChar"/>
    <w:uiPriority w:val="99"/>
    <w:unhideWhenUsed/>
    <w:rsid w:val="00F0491A"/>
    <w:pPr>
      <w:tabs>
        <w:tab w:val="center" w:pos="4513"/>
        <w:tab w:val="right" w:pos="9026"/>
      </w:tabs>
    </w:pPr>
  </w:style>
  <w:style w:type="character" w:customStyle="1" w:styleId="FooterChar">
    <w:name w:val="Footer Char"/>
    <w:basedOn w:val="DefaultParagraphFont"/>
    <w:link w:val="Footer"/>
    <w:uiPriority w:val="99"/>
    <w:rsid w:val="00F0491A"/>
    <w:rPr>
      <w:rFonts w:ascii="Calibri" w:eastAsia="Times New Roman" w:hAnsi="Calibri" w:cs="Times New Roman"/>
      <w:kern w:val="0"/>
      <w:szCs w:val="24"/>
      <w:lang w:val="en-US"/>
      <w14:ligatures w14:val="none"/>
    </w:rPr>
  </w:style>
  <w:style w:type="character" w:styleId="UnresolvedMention">
    <w:name w:val="Unresolved Mention"/>
    <w:basedOn w:val="DefaultParagraphFont"/>
    <w:uiPriority w:val="99"/>
    <w:semiHidden/>
    <w:unhideWhenUsed/>
    <w:rsid w:val="00986DDC"/>
    <w:rPr>
      <w:color w:val="605E5C"/>
      <w:shd w:val="clear" w:color="auto" w:fill="E1DFDD"/>
    </w:rPr>
  </w:style>
  <w:style w:type="character" w:styleId="FollowedHyperlink">
    <w:name w:val="FollowedHyperlink"/>
    <w:basedOn w:val="DefaultParagraphFont"/>
    <w:uiPriority w:val="99"/>
    <w:semiHidden/>
    <w:unhideWhenUsed/>
    <w:rsid w:val="00376234"/>
    <w:rPr>
      <w:color w:val="954F72" w:themeColor="followedHyperlink"/>
      <w:u w:val="single"/>
    </w:rPr>
  </w:style>
  <w:style w:type="table" w:styleId="TableGrid">
    <w:name w:val="Table Grid"/>
    <w:basedOn w:val="TableNormal"/>
    <w:uiPriority w:val="39"/>
    <w:rsid w:val="00C8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A40CA"/>
    <w:rPr>
      <w:rFonts w:asciiTheme="majorHAnsi" w:eastAsiaTheme="majorEastAsia" w:hAnsiTheme="majorHAnsi" w:cstheme="majorBidi"/>
      <w:color w:val="2F5496" w:themeColor="accent1" w:themeShade="BF"/>
      <w:kern w:val="0"/>
      <w:sz w:val="26"/>
      <w:szCs w:val="26"/>
      <w:lang w:val="en-US"/>
      <w14:ligatures w14:val="none"/>
    </w:rPr>
  </w:style>
  <w:style w:type="paragraph" w:styleId="BodyText">
    <w:name w:val="Body Text"/>
    <w:basedOn w:val="Normal"/>
    <w:link w:val="BodyTextChar"/>
    <w:uiPriority w:val="1"/>
    <w:qFormat/>
    <w:rsid w:val="005222EE"/>
    <w:pPr>
      <w:widowControl w:val="0"/>
      <w:autoSpaceDE w:val="0"/>
      <w:autoSpaceDN w:val="0"/>
      <w:ind w:left="686"/>
    </w:pPr>
    <w:rPr>
      <w:rFonts w:ascii="Arial" w:eastAsia="Arial" w:hAnsi="Arial" w:cs="Arial"/>
      <w:szCs w:val="22"/>
    </w:rPr>
  </w:style>
  <w:style w:type="character" w:customStyle="1" w:styleId="BodyTextChar">
    <w:name w:val="Body Text Char"/>
    <w:basedOn w:val="DefaultParagraphFont"/>
    <w:link w:val="BodyText"/>
    <w:uiPriority w:val="1"/>
    <w:rsid w:val="005222EE"/>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147531">
      <w:bodyDiv w:val="1"/>
      <w:marLeft w:val="0"/>
      <w:marRight w:val="0"/>
      <w:marTop w:val="0"/>
      <w:marBottom w:val="0"/>
      <w:divBdr>
        <w:top w:val="none" w:sz="0" w:space="0" w:color="auto"/>
        <w:left w:val="none" w:sz="0" w:space="0" w:color="auto"/>
        <w:bottom w:val="none" w:sz="0" w:space="0" w:color="auto"/>
        <w:right w:val="none" w:sz="0" w:space="0" w:color="auto"/>
      </w:divBdr>
      <w:divsChild>
        <w:div w:id="1324044404">
          <w:marLeft w:val="0"/>
          <w:marRight w:val="0"/>
          <w:marTop w:val="0"/>
          <w:marBottom w:val="0"/>
          <w:divBdr>
            <w:top w:val="none" w:sz="0" w:space="0" w:color="auto"/>
            <w:left w:val="none" w:sz="0" w:space="0" w:color="auto"/>
            <w:bottom w:val="none" w:sz="0" w:space="0" w:color="auto"/>
            <w:right w:val="none" w:sz="0" w:space="0" w:color="auto"/>
          </w:divBdr>
          <w:divsChild>
            <w:div w:id="13879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870">
      <w:bodyDiv w:val="1"/>
      <w:marLeft w:val="0"/>
      <w:marRight w:val="0"/>
      <w:marTop w:val="0"/>
      <w:marBottom w:val="0"/>
      <w:divBdr>
        <w:top w:val="none" w:sz="0" w:space="0" w:color="auto"/>
        <w:left w:val="none" w:sz="0" w:space="0" w:color="auto"/>
        <w:bottom w:val="none" w:sz="0" w:space="0" w:color="auto"/>
        <w:right w:val="none" w:sz="0" w:space="0" w:color="auto"/>
      </w:divBdr>
    </w:div>
    <w:div w:id="1664427330">
      <w:bodyDiv w:val="1"/>
      <w:marLeft w:val="0"/>
      <w:marRight w:val="0"/>
      <w:marTop w:val="0"/>
      <w:marBottom w:val="0"/>
      <w:divBdr>
        <w:top w:val="none" w:sz="0" w:space="0" w:color="auto"/>
        <w:left w:val="none" w:sz="0" w:space="0" w:color="auto"/>
        <w:bottom w:val="none" w:sz="0" w:space="0" w:color="auto"/>
        <w:right w:val="none" w:sz="0" w:space="0" w:color="auto"/>
      </w:divBdr>
      <w:divsChild>
        <w:div w:id="1195079677">
          <w:marLeft w:val="0"/>
          <w:marRight w:val="0"/>
          <w:marTop w:val="0"/>
          <w:marBottom w:val="0"/>
          <w:divBdr>
            <w:top w:val="none" w:sz="0" w:space="0" w:color="auto"/>
            <w:left w:val="none" w:sz="0" w:space="0" w:color="auto"/>
            <w:bottom w:val="none" w:sz="0" w:space="0" w:color="auto"/>
            <w:right w:val="none" w:sz="0" w:space="0" w:color="auto"/>
          </w:divBdr>
          <w:divsChild>
            <w:div w:id="8614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governance.nz/toolkits/ai-impact-assessment" TargetMode="External"/><Relationship Id="rId18" Type="http://schemas.openxmlformats.org/officeDocument/2006/relationships/hyperlink" Target="https://legalinstruments.oecd.org/en/instruments/OECD-LEGAL-044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igovernance.nz/toolkits/ai-impact-assessment" TargetMode="External"/><Relationship Id="rId17" Type="http://schemas.openxmlformats.org/officeDocument/2006/relationships/hyperlink" Target="https://www.tewhatuora.govt.nz/health-services-and-programmes/digital-health/generative-ai-and-large-language-models" TargetMode="External"/><Relationship Id="rId2" Type="http://schemas.openxmlformats.org/officeDocument/2006/relationships/customXml" Target="../customXml/item2.xml"/><Relationship Id="rId16" Type="http://schemas.openxmlformats.org/officeDocument/2006/relationships/hyperlink" Target="https://www.digital.govt.nz/standards-and-guidance/technology-and-architecture/artificial-intelligence/public-service-artificial-intelligence-framework" TargetMode="External"/><Relationship Id="rId20" Type="http://schemas.openxmlformats.org/officeDocument/2006/relationships/hyperlink" Target="https://www.oecd.org/en/topics/sub-issues/ai-principl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governance.n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apaanz.org.nz/wp-content/uploads/dapaanz-ai-guidelin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ivacy.org.nz/assets/New-order/Resources-/Publications/Guidance-resources/AI-Guidance-Resources-/AI-and-the-Information-Privacy-Principl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governance.nz/toolkits/building-knowledg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5630a2-a07a-4d00-bbd2-db27837995eb" xsi:nil="true"/>
    <lcf76f155ced4ddcb4097134ff3c332f xmlns="59cd1108-1ebf-419e-a126-7cd91ad506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8" ma:contentTypeDescription="Create a new document." ma:contentTypeScope="" ma:versionID="3dc03b59ea70ff4221623eb8331c600e">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1292aa62194b72749763d5c716144550"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592D-61AB-4D72-A89F-FB9D7AF37A69}">
  <ds:schemaRefs>
    <ds:schemaRef ds:uri="http://schemas.microsoft.com/office/2006/metadata/properties"/>
    <ds:schemaRef ds:uri="http://schemas.microsoft.com/office/infopath/2007/PartnerControls"/>
    <ds:schemaRef ds:uri="265630a2-a07a-4d00-bbd2-db27837995eb"/>
    <ds:schemaRef ds:uri="59cd1108-1ebf-419e-a126-7cd91ad5064c"/>
  </ds:schemaRefs>
</ds:datastoreItem>
</file>

<file path=customXml/itemProps2.xml><?xml version="1.0" encoding="utf-8"?>
<ds:datastoreItem xmlns:ds="http://schemas.openxmlformats.org/officeDocument/2006/customXml" ds:itemID="{18987EBD-A4DC-4EAC-94CC-2968782994CC}">
  <ds:schemaRefs>
    <ds:schemaRef ds:uri="http://schemas.microsoft.com/sharepoint/v3/contenttype/forms"/>
  </ds:schemaRefs>
</ds:datastoreItem>
</file>

<file path=customXml/itemProps3.xml><?xml version="1.0" encoding="utf-8"?>
<ds:datastoreItem xmlns:ds="http://schemas.openxmlformats.org/officeDocument/2006/customXml" ds:itemID="{B37CD593-7EDD-4F76-9F40-731B398BB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30a2-a07a-4d00-bbd2-db27837995eb"/>
    <ds:schemaRef ds:uri="59cd1108-1ebf-419e-a126-7cd91ad50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78787-E4DC-4E6A-AAD8-B7841473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Harnisch</dc:creator>
  <cp:keywords/>
  <dc:description/>
  <cp:lastModifiedBy>Louise Hill</cp:lastModifiedBy>
  <cp:revision>2</cp:revision>
  <dcterms:created xsi:type="dcterms:W3CDTF">2025-08-24T23:17:00Z</dcterms:created>
  <dcterms:modified xsi:type="dcterms:W3CDTF">2025-08-24T23:17:00Z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0x01010080D464F4C6DD314D89687075BE0FD8CC</vt:lpwstr>
  </property>
</Properties>
</file>